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83AC" w14:textId="63D813A5" w:rsidR="00D15E4A" w:rsidRDefault="009A487A" w:rsidP="00E111BD">
      <w:pPr>
        <w:ind w:left="4320" w:firstLine="720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0574D27" wp14:editId="1E05E969">
            <wp:simplePos x="0" y="0"/>
            <wp:positionH relativeFrom="column">
              <wp:posOffset>4468495</wp:posOffset>
            </wp:positionH>
            <wp:positionV relativeFrom="paragraph">
              <wp:posOffset>123190</wp:posOffset>
            </wp:positionV>
            <wp:extent cx="1838960" cy="1290320"/>
            <wp:effectExtent l="0" t="0" r="0" b="0"/>
            <wp:wrapSquare wrapText="bothSides"/>
            <wp:docPr id="3" name="Picture 2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D2C3D" w14:textId="043715EE" w:rsidR="002E44F2" w:rsidRDefault="002E44F2" w:rsidP="002E44F2">
      <w:pPr>
        <w:ind w:left="4320" w:firstLine="720"/>
      </w:pPr>
    </w:p>
    <w:p w14:paraId="3376CFF7" w14:textId="77777777" w:rsidR="002E44F2" w:rsidRDefault="002E44F2" w:rsidP="002E44F2">
      <w:pPr>
        <w:ind w:left="4320" w:firstLine="720"/>
      </w:pPr>
    </w:p>
    <w:p w14:paraId="70150C39" w14:textId="77777777" w:rsidR="002E44F2" w:rsidRDefault="002E44F2" w:rsidP="002E44F2">
      <w:pPr>
        <w:rPr>
          <w:sz w:val="20"/>
          <w:szCs w:val="20"/>
          <w:lang w:val="en-US"/>
        </w:rPr>
      </w:pPr>
      <w:r w:rsidRPr="00494E75">
        <w:tab/>
      </w:r>
      <w:r w:rsidRPr="00494E75">
        <w:tab/>
      </w:r>
      <w:r w:rsidRPr="00494E75">
        <w:tab/>
      </w:r>
      <w:r w:rsidRPr="00494E75">
        <w:tab/>
      </w:r>
      <w:r w:rsidRPr="00494E75">
        <w:tab/>
      </w:r>
      <w:r w:rsidRPr="00494E75">
        <w:tab/>
        <w:t xml:space="preserve">    </w:t>
      </w:r>
    </w:p>
    <w:p w14:paraId="7282CA36" w14:textId="77777777" w:rsidR="002E44F2" w:rsidRPr="00494E75" w:rsidRDefault="002E44F2" w:rsidP="002E44F2"/>
    <w:p w14:paraId="1E945BDA" w14:textId="77777777" w:rsidR="002E44F2" w:rsidRPr="00494E75" w:rsidRDefault="002E44F2" w:rsidP="002E44F2"/>
    <w:p w14:paraId="3C9472C4" w14:textId="77777777" w:rsidR="002E44F2" w:rsidRDefault="002E44F2" w:rsidP="002E44F2"/>
    <w:p w14:paraId="2603A85D" w14:textId="77777777" w:rsidR="002E44F2" w:rsidRDefault="002E44F2" w:rsidP="002E44F2"/>
    <w:p w14:paraId="755EC57C" w14:textId="77777777" w:rsidR="002E44F2" w:rsidRPr="00494E75" w:rsidRDefault="002E44F2" w:rsidP="002E44F2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4"/>
      </w:tblGrid>
      <w:tr w:rsidR="002E44F2" w:rsidRPr="00494E75" w14:paraId="60F0B4AC" w14:textId="77777777" w:rsidTr="003B57E1">
        <w:trPr>
          <w:trHeight w:val="1518"/>
        </w:trPr>
        <w:tc>
          <w:tcPr>
            <w:tcW w:w="4961" w:type="dxa"/>
          </w:tcPr>
          <w:p w14:paraId="4FCB0DBF" w14:textId="77777777" w:rsidR="002E44F2" w:rsidRPr="00494E75" w:rsidRDefault="002E44F2" w:rsidP="0031409C">
            <w:r w:rsidRPr="00494E75">
              <w:rPr>
                <w:b/>
                <w:bCs/>
                <w:sz w:val="22"/>
              </w:rPr>
              <w:t>Subject</w:t>
            </w:r>
          </w:p>
          <w:p w14:paraId="3BDB4136" w14:textId="40D26ECA" w:rsidR="002E44F2" w:rsidRPr="00BF2D28" w:rsidRDefault="002E44F2" w:rsidP="0031409C">
            <w:r w:rsidRPr="00BF2D28">
              <w:t xml:space="preserve">Timetable for </w:t>
            </w:r>
            <w:r w:rsidR="006C273B">
              <w:t>2021/22</w:t>
            </w:r>
            <w:r w:rsidRPr="00BF2D28">
              <w:t xml:space="preserve"> HSC Pension Scheme Annual Accounts</w:t>
            </w:r>
          </w:p>
          <w:p w14:paraId="656192E0" w14:textId="77777777" w:rsidR="002E44F2" w:rsidRPr="00494E75" w:rsidRDefault="002E44F2" w:rsidP="0031409C">
            <w:pPr>
              <w:rPr>
                <w:lang w:val="en-US"/>
              </w:rPr>
            </w:pPr>
          </w:p>
          <w:p w14:paraId="6B4C888B" w14:textId="77777777" w:rsidR="002E44F2" w:rsidRPr="00494E75" w:rsidRDefault="002E44F2" w:rsidP="0031409C">
            <w:pPr>
              <w:rPr>
                <w:lang w:val="en-US"/>
              </w:rPr>
            </w:pPr>
          </w:p>
        </w:tc>
        <w:tc>
          <w:tcPr>
            <w:tcW w:w="5104" w:type="dxa"/>
          </w:tcPr>
          <w:p w14:paraId="721F2F49" w14:textId="6717D127" w:rsidR="002E44F2" w:rsidRPr="00BF2D28" w:rsidRDefault="002E44F2" w:rsidP="003B57E1">
            <w:pPr>
              <w:pStyle w:val="BodyText2"/>
              <w:spacing w:line="360" w:lineRule="auto"/>
              <w:jc w:val="right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 w:val="22"/>
              </w:rPr>
              <w:t xml:space="preserve">      </w:t>
            </w:r>
            <w:r w:rsidRPr="00BF2D28">
              <w:rPr>
                <w:i w:val="0"/>
                <w:iCs/>
                <w:szCs w:val="24"/>
              </w:rPr>
              <w:t xml:space="preserve">Circular Reference: </w:t>
            </w:r>
            <w:r w:rsidR="004A5EC0" w:rsidRPr="00BF2D28">
              <w:rPr>
                <w:b w:val="0"/>
                <w:i w:val="0"/>
                <w:iCs/>
                <w:szCs w:val="24"/>
              </w:rPr>
              <w:t>HSC(F)</w:t>
            </w:r>
            <w:r w:rsidR="006C273B">
              <w:rPr>
                <w:b w:val="0"/>
                <w:i w:val="0"/>
                <w:iCs/>
                <w:szCs w:val="24"/>
              </w:rPr>
              <w:t xml:space="preserve"> </w:t>
            </w:r>
            <w:r w:rsidR="00742570">
              <w:rPr>
                <w:b w:val="0"/>
                <w:i w:val="0"/>
                <w:iCs/>
                <w:szCs w:val="24"/>
              </w:rPr>
              <w:t>08</w:t>
            </w:r>
            <w:r w:rsidR="003B57E1">
              <w:rPr>
                <w:b w:val="0"/>
                <w:i w:val="0"/>
                <w:iCs/>
                <w:szCs w:val="24"/>
              </w:rPr>
              <w:t>-</w:t>
            </w:r>
            <w:r w:rsidR="00443FF6" w:rsidRPr="00BF2D28">
              <w:rPr>
                <w:b w:val="0"/>
                <w:i w:val="0"/>
                <w:iCs/>
                <w:szCs w:val="24"/>
              </w:rPr>
              <w:t>202</w:t>
            </w:r>
            <w:r w:rsidR="006C273B">
              <w:rPr>
                <w:b w:val="0"/>
                <w:i w:val="0"/>
                <w:iCs/>
                <w:szCs w:val="24"/>
              </w:rPr>
              <w:t>2</w:t>
            </w:r>
          </w:p>
          <w:p w14:paraId="3165E7DA" w14:textId="70EFBF5D" w:rsidR="002E44F2" w:rsidRPr="003B57E1" w:rsidRDefault="003B57E1" w:rsidP="003B57E1">
            <w:pPr>
              <w:pStyle w:val="Heading3"/>
              <w:spacing w:before="0" w:after="0" w:line="360" w:lineRule="auto"/>
              <w:jc w:val="right"/>
              <w:rPr>
                <w:szCs w:val="24"/>
              </w:rPr>
            </w:pPr>
            <w:r w:rsidRPr="00BF2D28">
              <w:rPr>
                <w:szCs w:val="24"/>
              </w:rPr>
              <w:t xml:space="preserve">       CM </w:t>
            </w:r>
            <w:r w:rsidR="003F44D9">
              <w:rPr>
                <w:szCs w:val="24"/>
              </w:rPr>
              <w:t>reference</w:t>
            </w:r>
            <w:r w:rsidRPr="00BF2D28">
              <w:rPr>
                <w:szCs w:val="24"/>
              </w:rPr>
              <w:t>:</w:t>
            </w:r>
            <w:r>
              <w:t xml:space="preserve"> </w:t>
            </w:r>
            <w:r w:rsidR="00742570" w:rsidRPr="00742570">
              <w:rPr>
                <w:b w:val="0"/>
                <w:szCs w:val="24"/>
              </w:rPr>
              <w:t>HE1/22/81644</w:t>
            </w:r>
          </w:p>
          <w:p w14:paraId="15650EAD" w14:textId="55DDDFB9" w:rsidR="002E44F2" w:rsidRPr="00FD6067" w:rsidRDefault="002E44F2" w:rsidP="006A7AA5">
            <w:pPr>
              <w:spacing w:line="360" w:lineRule="auto"/>
              <w:jc w:val="right"/>
            </w:pPr>
            <w:r>
              <w:t xml:space="preserve">          </w:t>
            </w:r>
            <w:r w:rsidR="003B57E1" w:rsidRPr="003B57E1">
              <w:rPr>
                <w:b/>
              </w:rPr>
              <w:t xml:space="preserve">Date of Issue: </w:t>
            </w:r>
            <w:r w:rsidR="006A7AA5">
              <w:t xml:space="preserve">10 </w:t>
            </w:r>
            <w:bookmarkStart w:id="0" w:name="_GoBack"/>
            <w:bookmarkEnd w:id="0"/>
            <w:r w:rsidR="003B57E1">
              <w:t xml:space="preserve">February </w:t>
            </w:r>
            <w:r w:rsidR="003B57E1" w:rsidRPr="00BF2D28">
              <w:t>202</w:t>
            </w:r>
            <w:r w:rsidR="006C273B">
              <w:t>2</w:t>
            </w:r>
          </w:p>
        </w:tc>
      </w:tr>
      <w:tr w:rsidR="002E44F2" w:rsidRPr="00494E75" w14:paraId="03710215" w14:textId="77777777" w:rsidTr="003B57E1">
        <w:tc>
          <w:tcPr>
            <w:tcW w:w="4961" w:type="dxa"/>
          </w:tcPr>
          <w:p w14:paraId="0D5022AC" w14:textId="77777777" w:rsidR="002E44F2" w:rsidRPr="00BF2D28" w:rsidRDefault="002E44F2" w:rsidP="0031409C">
            <w:pPr>
              <w:rPr>
                <w:b/>
                <w:bCs/>
              </w:rPr>
            </w:pPr>
            <w:r w:rsidRPr="00BF2D28">
              <w:rPr>
                <w:b/>
                <w:bCs/>
                <w:lang w:val="en-US"/>
              </w:rPr>
              <w:t>For Action by:</w:t>
            </w:r>
          </w:p>
          <w:p w14:paraId="564EE172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The Director of Operations BSO</w:t>
            </w:r>
          </w:p>
          <w:p w14:paraId="2B2BBEC3" w14:textId="77777777" w:rsidR="002E44F2" w:rsidRPr="00BF2D28" w:rsidRDefault="002E44F2" w:rsidP="0031409C">
            <w:pPr>
              <w:rPr>
                <w:b/>
                <w:lang w:val="en-US"/>
              </w:rPr>
            </w:pPr>
            <w:r w:rsidRPr="00BF2D28">
              <w:rPr>
                <w:lang w:val="en-US"/>
              </w:rPr>
              <w:t xml:space="preserve">The Director of </w:t>
            </w:r>
            <w:r w:rsidR="004047DF" w:rsidRPr="00BF2D28">
              <w:rPr>
                <w:lang w:val="en-US"/>
              </w:rPr>
              <w:t>Workforce Policy Directorate</w:t>
            </w:r>
            <w:r w:rsidRPr="00BF2D28">
              <w:rPr>
                <w:lang w:val="en-US"/>
              </w:rPr>
              <w:t xml:space="preserve"> DoH</w:t>
            </w:r>
            <w:r w:rsidRPr="00BF2D28">
              <w:rPr>
                <w:b/>
                <w:lang w:val="en-US"/>
              </w:rPr>
              <w:br/>
            </w:r>
          </w:p>
          <w:p w14:paraId="48420B57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28B9F3E8" w14:textId="77777777" w:rsidR="002E44F2" w:rsidRPr="00BF2D28" w:rsidRDefault="002E44F2" w:rsidP="0031409C">
            <w:pPr>
              <w:rPr>
                <w:b/>
                <w:bCs/>
                <w:lang w:val="en-US"/>
              </w:rPr>
            </w:pPr>
            <w:r w:rsidRPr="00BF2D28">
              <w:rPr>
                <w:b/>
                <w:bCs/>
                <w:lang w:val="en-US"/>
              </w:rPr>
              <w:t>For Information to:</w:t>
            </w:r>
          </w:p>
          <w:p w14:paraId="00CEC2F5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The Director of Finance BSO</w:t>
            </w:r>
          </w:p>
          <w:p w14:paraId="1719E2E9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The Director of Finance DoH</w:t>
            </w:r>
          </w:p>
          <w:p w14:paraId="5722B712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69D61C3E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560671DB" w14:textId="77777777" w:rsidR="002E44F2" w:rsidRPr="00BF2D28" w:rsidRDefault="002E44F2" w:rsidP="0031409C">
            <w:pPr>
              <w:rPr>
                <w:lang w:val="en-US"/>
              </w:rPr>
            </w:pPr>
            <w:r w:rsidRPr="00BF2D28">
              <w:rPr>
                <w:b/>
                <w:bCs/>
                <w:lang w:val="en-US"/>
              </w:rPr>
              <w:t>Summary of Contents</w:t>
            </w:r>
            <w:r w:rsidRPr="00BF2D28">
              <w:rPr>
                <w:lang w:val="en-US"/>
              </w:rPr>
              <w:t>:</w:t>
            </w:r>
          </w:p>
          <w:p w14:paraId="504AB7A6" w14:textId="3B758AE5" w:rsidR="002E44F2" w:rsidRPr="00BF2D28" w:rsidRDefault="002E44F2" w:rsidP="0031409C">
            <w:pPr>
              <w:rPr>
                <w:lang w:val="en-US"/>
              </w:rPr>
            </w:pPr>
            <w:r w:rsidRPr="00BF2D28">
              <w:rPr>
                <w:lang w:val="en-US"/>
              </w:rPr>
              <w:t xml:space="preserve">Timetable for production and certification of </w:t>
            </w:r>
            <w:r w:rsidR="006C273B">
              <w:rPr>
                <w:lang w:val="en-US"/>
              </w:rPr>
              <w:t>2021/22</w:t>
            </w:r>
            <w:r w:rsidRPr="00BF2D28">
              <w:rPr>
                <w:lang w:val="en-US"/>
              </w:rPr>
              <w:t xml:space="preserve"> HSC Pension Scheme annual  accounts </w:t>
            </w:r>
          </w:p>
          <w:p w14:paraId="5D743405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4DFC800D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6AC96390" w14:textId="77777777" w:rsidR="002E44F2" w:rsidRPr="00BF2D28" w:rsidRDefault="002E44F2" w:rsidP="0031409C">
            <w:pPr>
              <w:rPr>
                <w:lang w:val="en-US"/>
              </w:rPr>
            </w:pPr>
            <w:r w:rsidRPr="00BF2D28">
              <w:rPr>
                <w:b/>
                <w:bCs/>
                <w:lang w:val="en-US"/>
              </w:rPr>
              <w:t>Enquiries</w:t>
            </w:r>
            <w:r w:rsidRPr="00BF2D28">
              <w:rPr>
                <w:lang w:val="en-US"/>
              </w:rPr>
              <w:t>:</w:t>
            </w:r>
          </w:p>
          <w:p w14:paraId="4AFD7A48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7948F671" w14:textId="77777777" w:rsidR="002E44F2" w:rsidRPr="00BF2D28" w:rsidRDefault="002E44F2" w:rsidP="0031409C">
            <w:pPr>
              <w:pStyle w:val="BodyText3"/>
              <w:rPr>
                <w:szCs w:val="24"/>
              </w:rPr>
            </w:pPr>
            <w:r w:rsidRPr="00BF2D28">
              <w:rPr>
                <w:szCs w:val="24"/>
              </w:rPr>
              <w:t>Any enquiries about the contents of this Circular should be addressed to:</w:t>
            </w:r>
          </w:p>
          <w:p w14:paraId="7F234887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07A27070" w14:textId="77777777" w:rsidR="002E44F2" w:rsidRPr="00BF2D28" w:rsidRDefault="00723EC1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Josie Newell</w:t>
            </w:r>
          </w:p>
          <w:p w14:paraId="7DC022DE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HSC Pension Scheme Accountant</w:t>
            </w:r>
          </w:p>
          <w:p w14:paraId="4F06A8F7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Department of Health</w:t>
            </w:r>
            <w:r w:rsidR="00405314" w:rsidRPr="00BF2D28">
              <w:rPr>
                <w:bCs/>
                <w:lang w:val="en-US"/>
              </w:rPr>
              <w:t xml:space="preserve"> (DoH)</w:t>
            </w:r>
          </w:p>
          <w:p w14:paraId="4D8CF18F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Room D3.</w:t>
            </w:r>
            <w:r w:rsidR="006B3C64" w:rsidRPr="00BF2D28">
              <w:rPr>
                <w:bCs/>
                <w:lang w:val="en-US"/>
              </w:rPr>
              <w:t>12</w:t>
            </w:r>
          </w:p>
          <w:p w14:paraId="331BCF05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Castle Buildings</w:t>
            </w:r>
          </w:p>
          <w:p w14:paraId="4CE1C503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Stormont</w:t>
            </w:r>
          </w:p>
          <w:p w14:paraId="0C4FE7E6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BELFAST</w:t>
            </w:r>
          </w:p>
          <w:p w14:paraId="708013EE" w14:textId="77777777" w:rsidR="002E44F2" w:rsidRPr="00BF2D28" w:rsidRDefault="002E44F2" w:rsidP="0031409C">
            <w:pPr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BT4 3SQ</w:t>
            </w:r>
          </w:p>
          <w:p w14:paraId="7C898632" w14:textId="77777777" w:rsidR="002E44F2" w:rsidRPr="00BF2D28" w:rsidRDefault="002E44F2" w:rsidP="0031409C">
            <w:pPr>
              <w:rPr>
                <w:bCs/>
                <w:lang w:val="en-US"/>
              </w:rPr>
            </w:pPr>
          </w:p>
          <w:p w14:paraId="42EE2C5E" w14:textId="77777777" w:rsidR="002E44F2" w:rsidRPr="00BF2D28" w:rsidRDefault="002E44F2" w:rsidP="0031409C">
            <w:pPr>
              <w:tabs>
                <w:tab w:val="left" w:pos="1152"/>
              </w:tabs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Tel: 028 90</w:t>
            </w:r>
            <w:r w:rsidR="00723EC1" w:rsidRPr="00BF2D28">
              <w:rPr>
                <w:bCs/>
                <w:lang w:val="en-US"/>
              </w:rPr>
              <w:t>37</w:t>
            </w:r>
            <w:r w:rsidRPr="00BF2D28">
              <w:rPr>
                <w:bCs/>
                <w:lang w:val="en-US"/>
              </w:rPr>
              <w:t xml:space="preserve"> </w:t>
            </w:r>
            <w:r w:rsidR="00723EC1" w:rsidRPr="00BF2D28">
              <w:rPr>
                <w:bCs/>
                <w:lang w:val="en-US"/>
              </w:rPr>
              <w:t>8626</w:t>
            </w:r>
          </w:p>
          <w:p w14:paraId="4628E3E5" w14:textId="77777777" w:rsidR="002E44F2" w:rsidRPr="00BF2D28" w:rsidRDefault="006B3C64" w:rsidP="0031409C">
            <w:pPr>
              <w:tabs>
                <w:tab w:val="left" w:pos="1152"/>
              </w:tabs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j</w:t>
            </w:r>
            <w:r w:rsidR="00723EC1" w:rsidRPr="00BF2D28">
              <w:rPr>
                <w:bCs/>
                <w:lang w:val="en-US"/>
              </w:rPr>
              <w:t>osie.newell</w:t>
            </w:r>
            <w:r w:rsidR="002E44F2" w:rsidRPr="00BF2D28">
              <w:rPr>
                <w:bCs/>
                <w:lang w:val="en-US"/>
              </w:rPr>
              <w:t>@health-ni.gov.uk</w:t>
            </w:r>
          </w:p>
          <w:p w14:paraId="29BBA88D" w14:textId="77777777" w:rsidR="002E44F2" w:rsidRPr="00BF2D28" w:rsidRDefault="002E44F2" w:rsidP="0031409C">
            <w:pPr>
              <w:tabs>
                <w:tab w:val="left" w:pos="1152"/>
              </w:tabs>
              <w:rPr>
                <w:b/>
                <w:lang w:val="en-US"/>
              </w:rPr>
            </w:pPr>
          </w:p>
          <w:p w14:paraId="1F3DF354" w14:textId="77777777" w:rsidR="002E44F2" w:rsidRPr="00BF2D28" w:rsidRDefault="002E44F2" w:rsidP="0031409C">
            <w:pPr>
              <w:rPr>
                <w:lang w:val="en-US"/>
              </w:rPr>
            </w:pPr>
            <w:r w:rsidRPr="00BF2D28">
              <w:rPr>
                <w:lang w:val="en-US"/>
              </w:rPr>
              <w:t xml:space="preserve"> </w:t>
            </w:r>
          </w:p>
        </w:tc>
        <w:tc>
          <w:tcPr>
            <w:tcW w:w="5104" w:type="dxa"/>
          </w:tcPr>
          <w:p w14:paraId="79B8495C" w14:textId="77777777" w:rsidR="000B6010" w:rsidRDefault="002E44F2" w:rsidP="005F6F3F">
            <w:pPr>
              <w:pStyle w:val="Heading1"/>
            </w:pPr>
            <w:r w:rsidRPr="00BF2D28">
              <w:t>Related documents:</w:t>
            </w:r>
          </w:p>
          <w:p w14:paraId="06C683B8" w14:textId="2DE35585" w:rsidR="005F6F3F" w:rsidRDefault="003B57E1" w:rsidP="005F6F3F">
            <w:pPr>
              <w:pStyle w:val="Heading1"/>
            </w:pPr>
            <w:r>
              <w:t xml:space="preserve"> </w:t>
            </w:r>
          </w:p>
          <w:p w14:paraId="65530926" w14:textId="4E8AEF9E" w:rsidR="006B7D18" w:rsidRPr="000B6010" w:rsidRDefault="000B6010" w:rsidP="009D77F1">
            <w:pPr>
              <w:pStyle w:val="Heading1"/>
              <w:rPr>
                <w:rStyle w:val="Hyperlink"/>
                <w:b w:val="0"/>
              </w:rPr>
            </w:pPr>
            <w:r>
              <w:rPr>
                <w:rStyle w:val="Hyperlink"/>
                <w:b w:val="0"/>
                <w:iCs/>
              </w:rPr>
              <w:fldChar w:fldCharType="begin"/>
            </w:r>
            <w:r>
              <w:rPr>
                <w:rStyle w:val="Hyperlink"/>
                <w:b w:val="0"/>
                <w:iCs/>
              </w:rPr>
              <w:instrText xml:space="preserve"> HYPERLINK "https://www.health-ni.gov.uk/sites/default/files/publications/health/Pension-Branch-Return-11m-Pro-Forma-annex-B-Feb%202021.XLSX" </w:instrText>
            </w:r>
            <w:r>
              <w:rPr>
                <w:rStyle w:val="Hyperlink"/>
                <w:b w:val="0"/>
                <w:iCs/>
              </w:rPr>
              <w:fldChar w:fldCharType="separate"/>
            </w:r>
            <w:proofErr w:type="gramStart"/>
            <w:r w:rsidR="007A0194" w:rsidRPr="000B6010">
              <w:rPr>
                <w:rStyle w:val="Hyperlink"/>
                <w:b w:val="0"/>
                <w:iCs/>
              </w:rPr>
              <w:t>HSC(</w:t>
            </w:r>
            <w:proofErr w:type="gramEnd"/>
            <w:r w:rsidR="007A0194" w:rsidRPr="000B6010">
              <w:rPr>
                <w:rStyle w:val="Hyperlink"/>
                <w:b w:val="0"/>
                <w:iCs/>
              </w:rPr>
              <w:t xml:space="preserve">F) </w:t>
            </w:r>
            <w:r w:rsidR="00742570">
              <w:rPr>
                <w:rStyle w:val="Hyperlink"/>
                <w:b w:val="0"/>
                <w:iCs/>
              </w:rPr>
              <w:t>08</w:t>
            </w:r>
            <w:r w:rsidR="006C273B">
              <w:rPr>
                <w:rStyle w:val="Hyperlink"/>
                <w:b w:val="0"/>
                <w:iCs/>
              </w:rPr>
              <w:t>-2022</w:t>
            </w:r>
            <w:r w:rsidR="007A0194" w:rsidRPr="000B6010">
              <w:rPr>
                <w:rStyle w:val="Hyperlink"/>
                <w:b w:val="0"/>
                <w:iCs/>
              </w:rPr>
              <w:t>-Pension Branch</w:t>
            </w:r>
            <w:r w:rsidR="00BC5525" w:rsidRPr="000B6010">
              <w:rPr>
                <w:rStyle w:val="Hyperlink"/>
                <w:b w:val="0"/>
                <w:iCs/>
              </w:rPr>
              <w:t xml:space="preserve"> </w:t>
            </w:r>
            <w:r w:rsidR="007A0194" w:rsidRPr="000B6010">
              <w:rPr>
                <w:rStyle w:val="Hyperlink"/>
                <w:b w:val="0"/>
                <w:iCs/>
              </w:rPr>
              <w:t>11 Month return</w:t>
            </w:r>
          </w:p>
          <w:p w14:paraId="647A2DEB" w14:textId="055495FA" w:rsidR="0092586D" w:rsidRPr="000B6010" w:rsidRDefault="000B6010" w:rsidP="009D77F1">
            <w:pPr>
              <w:jc w:val="right"/>
              <w:rPr>
                <w:rStyle w:val="Hyperlink"/>
                <w:color w:val="auto"/>
              </w:rPr>
            </w:pPr>
            <w:r>
              <w:rPr>
                <w:rStyle w:val="Hyperlink"/>
                <w:bCs/>
                <w:iCs/>
              </w:rPr>
              <w:fldChar w:fldCharType="end"/>
            </w:r>
          </w:p>
          <w:p w14:paraId="309A5F04" w14:textId="353B8383" w:rsidR="0092586D" w:rsidRPr="000B6010" w:rsidRDefault="000B6010" w:rsidP="009D77F1">
            <w:pPr>
              <w:jc w:val="right"/>
              <w:rPr>
                <w:rStyle w:val="Hyperlink"/>
                <w:iCs/>
              </w:rPr>
            </w:pPr>
            <w:r>
              <w:rPr>
                <w:rStyle w:val="Hyperlink"/>
                <w:iCs/>
              </w:rPr>
              <w:fldChar w:fldCharType="begin"/>
            </w:r>
            <w:r>
              <w:rPr>
                <w:rStyle w:val="Hyperlink"/>
                <w:iCs/>
              </w:rPr>
              <w:instrText xml:space="preserve"> HYPERLINK "https://www.health-ni.gov.uk/sites/default/files/publications/health/Pension-Branch-Return-12m-Pro-Forma-annex%20C-Mar-2021.XLSX" </w:instrText>
            </w:r>
            <w:r>
              <w:rPr>
                <w:rStyle w:val="Hyperlink"/>
                <w:iCs/>
              </w:rPr>
              <w:fldChar w:fldCharType="separate"/>
            </w:r>
            <w:r w:rsidR="00DF049C" w:rsidRPr="000B6010">
              <w:rPr>
                <w:rStyle w:val="Hyperlink"/>
                <w:iCs/>
              </w:rPr>
              <w:t xml:space="preserve">HSC(F) </w:t>
            </w:r>
            <w:r w:rsidR="00742570">
              <w:rPr>
                <w:rStyle w:val="Hyperlink"/>
                <w:iCs/>
              </w:rPr>
              <w:t>08</w:t>
            </w:r>
            <w:r w:rsidR="006C273B">
              <w:rPr>
                <w:rStyle w:val="Hyperlink"/>
                <w:iCs/>
              </w:rPr>
              <w:t>-2022</w:t>
            </w:r>
            <w:r w:rsidR="00BC5525" w:rsidRPr="000B6010">
              <w:rPr>
                <w:rStyle w:val="Hyperlink"/>
                <w:iCs/>
              </w:rPr>
              <w:t>-</w:t>
            </w:r>
            <w:r w:rsidR="00DF049C" w:rsidRPr="000B6010">
              <w:rPr>
                <w:rStyle w:val="Hyperlink"/>
                <w:iCs/>
              </w:rPr>
              <w:t>Pension</w:t>
            </w:r>
            <w:r w:rsidR="006B7D18" w:rsidRPr="000B6010">
              <w:rPr>
                <w:rStyle w:val="Hyperlink"/>
                <w:iCs/>
              </w:rPr>
              <w:t xml:space="preserve"> Branch</w:t>
            </w:r>
            <w:r w:rsidR="00BC5525" w:rsidRPr="000B6010">
              <w:rPr>
                <w:rStyle w:val="Hyperlink"/>
                <w:iCs/>
              </w:rPr>
              <w:t xml:space="preserve"> </w:t>
            </w:r>
            <w:r w:rsidR="006B7D18" w:rsidRPr="000B6010">
              <w:rPr>
                <w:rStyle w:val="Hyperlink"/>
                <w:iCs/>
              </w:rPr>
              <w:t>12 Month return</w:t>
            </w:r>
          </w:p>
          <w:p w14:paraId="7BAB943D" w14:textId="229CC8E5" w:rsidR="002E44F2" w:rsidRPr="00BF2D28" w:rsidRDefault="000B6010" w:rsidP="009D77F1">
            <w:pPr>
              <w:jc w:val="right"/>
              <w:rPr>
                <w:b/>
                <w:u w:val="single"/>
                <w:lang w:val="en-US"/>
              </w:rPr>
            </w:pPr>
            <w:r>
              <w:rPr>
                <w:rStyle w:val="Hyperlink"/>
                <w:iCs/>
              </w:rPr>
              <w:fldChar w:fldCharType="end"/>
            </w:r>
          </w:p>
          <w:p w14:paraId="0062EDC3" w14:textId="77777777" w:rsidR="002E44F2" w:rsidRPr="00BF2D28" w:rsidRDefault="002E44F2" w:rsidP="0031409C">
            <w:pPr>
              <w:pStyle w:val="BodyText"/>
              <w:jc w:val="right"/>
              <w:rPr>
                <w:b/>
                <w:bCs/>
                <w:szCs w:val="24"/>
              </w:rPr>
            </w:pPr>
          </w:p>
          <w:p w14:paraId="6E480038" w14:textId="77777777" w:rsidR="002E44F2" w:rsidRPr="00BF2D28" w:rsidRDefault="002E44F2" w:rsidP="0031409C">
            <w:pPr>
              <w:pStyle w:val="BodyText"/>
              <w:jc w:val="right"/>
              <w:rPr>
                <w:b/>
                <w:bCs/>
                <w:szCs w:val="24"/>
              </w:rPr>
            </w:pPr>
            <w:r w:rsidRPr="00BF2D28">
              <w:rPr>
                <w:b/>
                <w:bCs/>
                <w:szCs w:val="24"/>
              </w:rPr>
              <w:t>Superseded Documents:</w:t>
            </w:r>
          </w:p>
          <w:p w14:paraId="5B3D4EE4" w14:textId="09DB14C4" w:rsidR="002E44F2" w:rsidRPr="00BF2D28" w:rsidRDefault="007F4A01" w:rsidP="0031409C">
            <w:pPr>
              <w:jc w:val="right"/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 xml:space="preserve">HSC (F) </w:t>
            </w:r>
            <w:r w:rsidR="006C273B">
              <w:rPr>
                <w:bCs/>
                <w:lang w:val="en-US"/>
              </w:rPr>
              <w:t>07</w:t>
            </w:r>
            <w:r w:rsidRPr="00BF2D28">
              <w:rPr>
                <w:bCs/>
                <w:lang w:val="en-US"/>
              </w:rPr>
              <w:t>-20</w:t>
            </w:r>
            <w:r w:rsidR="006C273B">
              <w:rPr>
                <w:bCs/>
                <w:lang w:val="en-US"/>
              </w:rPr>
              <w:t>21</w:t>
            </w:r>
          </w:p>
          <w:p w14:paraId="5A08744B" w14:textId="77777777" w:rsidR="002E44F2" w:rsidRPr="00BF2D28" w:rsidRDefault="002E44F2" w:rsidP="0031409C">
            <w:pPr>
              <w:rPr>
                <w:bCs/>
                <w:lang w:val="en-US"/>
              </w:rPr>
            </w:pPr>
          </w:p>
          <w:p w14:paraId="11623791" w14:textId="77777777" w:rsidR="002E44F2" w:rsidRPr="00BF2D28" w:rsidRDefault="002E44F2" w:rsidP="0031409C">
            <w:pPr>
              <w:rPr>
                <w:bCs/>
                <w:lang w:val="en-US"/>
              </w:rPr>
            </w:pPr>
          </w:p>
          <w:p w14:paraId="7FFA72BD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4610BE49" w14:textId="77777777" w:rsidR="002E44F2" w:rsidRPr="00BF2D28" w:rsidRDefault="002E44F2" w:rsidP="0031409C">
            <w:pPr>
              <w:pStyle w:val="BodyText2"/>
              <w:jc w:val="right"/>
              <w:rPr>
                <w:i w:val="0"/>
                <w:iCs/>
                <w:szCs w:val="24"/>
                <w:lang w:val="en-US"/>
              </w:rPr>
            </w:pPr>
            <w:r w:rsidRPr="00BF2D28">
              <w:rPr>
                <w:i w:val="0"/>
                <w:iCs/>
                <w:szCs w:val="24"/>
                <w:lang w:val="en-US"/>
              </w:rPr>
              <w:t>Expiry Date:</w:t>
            </w:r>
          </w:p>
          <w:p w14:paraId="1D8A9B0F" w14:textId="77777777" w:rsidR="002E44F2" w:rsidRPr="00BF2D28" w:rsidRDefault="002E44F2" w:rsidP="0031409C">
            <w:pPr>
              <w:pStyle w:val="BodyText2"/>
              <w:jc w:val="right"/>
              <w:rPr>
                <w:i w:val="0"/>
                <w:iCs/>
                <w:szCs w:val="24"/>
                <w:lang w:val="en-US"/>
              </w:rPr>
            </w:pPr>
          </w:p>
          <w:p w14:paraId="696B5B8C" w14:textId="77777777" w:rsidR="002E44F2" w:rsidRPr="00BF2D28" w:rsidRDefault="002E44F2" w:rsidP="0031409C">
            <w:pPr>
              <w:pStyle w:val="BodyText2"/>
              <w:jc w:val="right"/>
              <w:rPr>
                <w:b w:val="0"/>
                <w:bCs/>
                <w:i w:val="0"/>
                <w:iCs/>
                <w:szCs w:val="24"/>
                <w:lang w:val="en-US"/>
              </w:rPr>
            </w:pPr>
          </w:p>
          <w:p w14:paraId="56A4068A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6D9BBF8F" w14:textId="77777777" w:rsidR="002E44F2" w:rsidRPr="00BF2D28" w:rsidRDefault="002E44F2" w:rsidP="0031409C">
            <w:pPr>
              <w:pStyle w:val="BodyText"/>
              <w:jc w:val="right"/>
              <w:rPr>
                <w:b/>
                <w:szCs w:val="24"/>
              </w:rPr>
            </w:pPr>
            <w:r w:rsidRPr="00BF2D28">
              <w:rPr>
                <w:b/>
                <w:szCs w:val="24"/>
              </w:rPr>
              <w:t>Status of Contents:</w:t>
            </w:r>
          </w:p>
          <w:p w14:paraId="0B10D294" w14:textId="77777777" w:rsidR="002E44F2" w:rsidRPr="00BF2D28" w:rsidRDefault="002E44F2" w:rsidP="0031409C">
            <w:pPr>
              <w:jc w:val="right"/>
              <w:rPr>
                <w:lang w:val="en-US"/>
              </w:rPr>
            </w:pPr>
            <w:r w:rsidRPr="00BF2D28">
              <w:rPr>
                <w:lang w:val="en-US"/>
              </w:rPr>
              <w:t>Action</w:t>
            </w:r>
          </w:p>
          <w:p w14:paraId="1F6B3489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  <w:r w:rsidRPr="00BF2D28">
              <w:rPr>
                <w:b/>
                <w:lang w:val="en-US"/>
              </w:rPr>
              <w:t xml:space="preserve"> </w:t>
            </w:r>
          </w:p>
          <w:p w14:paraId="6ECB2B28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03439100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521E5D07" w14:textId="77777777" w:rsidR="002E44F2" w:rsidRPr="00BF2D28" w:rsidRDefault="002E44F2" w:rsidP="0031409C">
            <w:pPr>
              <w:pStyle w:val="BodyText2"/>
              <w:jc w:val="right"/>
              <w:rPr>
                <w:i w:val="0"/>
                <w:iCs/>
                <w:szCs w:val="24"/>
                <w:lang w:val="en-US"/>
              </w:rPr>
            </w:pPr>
            <w:r w:rsidRPr="00BF2D28">
              <w:rPr>
                <w:i w:val="0"/>
                <w:iCs/>
                <w:szCs w:val="24"/>
                <w:lang w:val="en-US"/>
              </w:rPr>
              <w:t>Implementation:</w:t>
            </w:r>
          </w:p>
          <w:p w14:paraId="71E3BFF1" w14:textId="6B6DFE78" w:rsidR="002E44F2" w:rsidRPr="00BF2D28" w:rsidRDefault="006C273B" w:rsidP="0031409C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2021/22</w:t>
            </w:r>
          </w:p>
          <w:p w14:paraId="49476EB2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546E7D1A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2DC23180" w14:textId="77777777" w:rsidR="002E44F2" w:rsidRPr="00BF2D28" w:rsidRDefault="002E44F2" w:rsidP="0031409C">
            <w:pPr>
              <w:jc w:val="right"/>
              <w:rPr>
                <w:b/>
                <w:lang w:val="en-US"/>
              </w:rPr>
            </w:pPr>
          </w:p>
          <w:p w14:paraId="0DF1DA4A" w14:textId="77777777" w:rsidR="002E44F2" w:rsidRPr="00BF2D28" w:rsidRDefault="002E44F2" w:rsidP="0031409C">
            <w:pPr>
              <w:pStyle w:val="BodyText2"/>
              <w:jc w:val="right"/>
              <w:rPr>
                <w:i w:val="0"/>
                <w:iCs/>
                <w:szCs w:val="24"/>
                <w:lang w:val="en-US"/>
              </w:rPr>
            </w:pPr>
            <w:r w:rsidRPr="00BF2D28">
              <w:rPr>
                <w:i w:val="0"/>
                <w:iCs/>
                <w:szCs w:val="24"/>
                <w:lang w:val="en-US"/>
              </w:rPr>
              <w:t>Additional Copies:</w:t>
            </w:r>
          </w:p>
          <w:p w14:paraId="124FF3BF" w14:textId="77777777" w:rsidR="002E44F2" w:rsidRPr="00BF2D28" w:rsidRDefault="002E44F2" w:rsidP="0031409C">
            <w:pPr>
              <w:jc w:val="right"/>
              <w:rPr>
                <w:bCs/>
                <w:lang w:val="en-US"/>
              </w:rPr>
            </w:pPr>
            <w:r w:rsidRPr="00BF2D28">
              <w:rPr>
                <w:bCs/>
                <w:lang w:val="en-US"/>
              </w:rPr>
              <w:t>Eileen Galway</w:t>
            </w:r>
          </w:p>
          <w:p w14:paraId="204695F8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  <w:p w14:paraId="4EF40BAE" w14:textId="77777777" w:rsidR="002E44F2" w:rsidRPr="00BF2D28" w:rsidRDefault="002E44F2" w:rsidP="0031409C">
            <w:pPr>
              <w:rPr>
                <w:b/>
                <w:lang w:val="en-US"/>
              </w:rPr>
            </w:pPr>
          </w:p>
        </w:tc>
      </w:tr>
    </w:tbl>
    <w:p w14:paraId="21699A60" w14:textId="219C2974" w:rsidR="004D7B22" w:rsidRDefault="004D7B22" w:rsidP="00E111BD">
      <w:pPr>
        <w:ind w:left="4320" w:firstLine="720"/>
      </w:pPr>
    </w:p>
    <w:p w14:paraId="6B5417EF" w14:textId="77777777" w:rsidR="004D7B22" w:rsidRDefault="004D7B22">
      <w:pPr>
        <w:rPr>
          <w:sz w:val="20"/>
          <w:szCs w:val="20"/>
          <w:lang w:val="en-US"/>
        </w:rPr>
      </w:pPr>
      <w:r w:rsidRPr="00494E75">
        <w:tab/>
      </w:r>
      <w:r w:rsidRPr="00494E75">
        <w:tab/>
      </w:r>
      <w:r w:rsidRPr="00494E75">
        <w:tab/>
      </w:r>
      <w:r w:rsidRPr="00494E75">
        <w:tab/>
      </w:r>
      <w:r w:rsidRPr="00494E75">
        <w:tab/>
      </w:r>
      <w:r w:rsidRPr="00494E75">
        <w:tab/>
        <w:t xml:space="preserve">    </w:t>
      </w:r>
    </w:p>
    <w:p w14:paraId="14271B78" w14:textId="77777777" w:rsidR="004D7B22" w:rsidRPr="00494E75" w:rsidRDefault="004D7B22"/>
    <w:p w14:paraId="5124C545" w14:textId="75C83E0C" w:rsidR="004D7B22" w:rsidRPr="00494E75" w:rsidRDefault="004D7B22">
      <w:r>
        <w:br w:type="page"/>
      </w:r>
    </w:p>
    <w:p w14:paraId="0AB0C7E7" w14:textId="73E8E998" w:rsidR="004D7B22" w:rsidRPr="00BF2D28" w:rsidRDefault="004D7B22">
      <w:pPr>
        <w:rPr>
          <w:b/>
          <w:bCs/>
        </w:rPr>
      </w:pPr>
      <w:r w:rsidRPr="00BF2D28">
        <w:rPr>
          <w:b/>
          <w:bCs/>
        </w:rPr>
        <w:lastRenderedPageBreak/>
        <w:t xml:space="preserve">TIMESCALES FOR </w:t>
      </w:r>
      <w:r w:rsidR="009D77F1">
        <w:rPr>
          <w:b/>
          <w:bCs/>
        </w:rPr>
        <w:t>2021/22</w:t>
      </w:r>
      <w:r w:rsidRPr="00BF2D28">
        <w:rPr>
          <w:b/>
          <w:bCs/>
        </w:rPr>
        <w:t xml:space="preserve"> HSC PENSION SCHEME ANNUAL ACCOUNTS </w:t>
      </w:r>
    </w:p>
    <w:p w14:paraId="3AF1A89C" w14:textId="77777777" w:rsidR="004D7B22" w:rsidRPr="00BF2D28" w:rsidRDefault="004D7B22">
      <w:pPr>
        <w:jc w:val="both"/>
        <w:rPr>
          <w:b/>
          <w:bCs/>
        </w:rPr>
      </w:pPr>
    </w:p>
    <w:p w14:paraId="63DE2B48" w14:textId="1A85AA83" w:rsidR="004D7B22" w:rsidRPr="00BF2D28" w:rsidRDefault="00E9460D">
      <w:pPr>
        <w:jc w:val="both"/>
        <w:rPr>
          <w:b/>
          <w:bCs/>
        </w:rPr>
      </w:pPr>
      <w:r w:rsidRPr="00BF2D28">
        <w:rPr>
          <w:b/>
          <w:bCs/>
        </w:rPr>
        <w:t>Requirements</w:t>
      </w:r>
    </w:p>
    <w:p w14:paraId="5D2F555A" w14:textId="77777777" w:rsidR="004D7B22" w:rsidRPr="00BF2D28" w:rsidRDefault="004D7B22">
      <w:pPr>
        <w:jc w:val="both"/>
        <w:rPr>
          <w:b/>
          <w:bCs/>
        </w:rPr>
      </w:pPr>
    </w:p>
    <w:p w14:paraId="7BEA429F" w14:textId="65CCC7B8" w:rsidR="004D7B22" w:rsidRPr="00BF2D28" w:rsidRDefault="004D7B22" w:rsidP="00263330">
      <w:pPr>
        <w:numPr>
          <w:ilvl w:val="0"/>
          <w:numId w:val="4"/>
        </w:numPr>
        <w:tabs>
          <w:tab w:val="left" w:pos="540"/>
        </w:tabs>
      </w:pPr>
      <w:r w:rsidRPr="00BF2D28">
        <w:t xml:space="preserve">The purpose of this circular is to confirm the timescales for the preparation, audit and certification of the HSC Pension Scheme annual accounts </w:t>
      </w:r>
      <w:r w:rsidR="006C273B">
        <w:t>2021/22</w:t>
      </w:r>
      <w:r w:rsidRPr="00BF2D28">
        <w:t>, including the information required by D</w:t>
      </w:r>
      <w:r w:rsidR="002E44F2" w:rsidRPr="00BF2D28">
        <w:t>o</w:t>
      </w:r>
      <w:r w:rsidRPr="00BF2D28">
        <w:t>H Finance f</w:t>
      </w:r>
      <w:r w:rsidR="00B32C6E" w:rsidRPr="00BF2D28">
        <w:t xml:space="preserve">rom BSO </w:t>
      </w:r>
      <w:r w:rsidR="003F0AAE" w:rsidRPr="00BF2D28">
        <w:t>Pension Service</w:t>
      </w:r>
      <w:r w:rsidR="000C626B" w:rsidRPr="00BF2D28">
        <w:t xml:space="preserve"> (PS)</w:t>
      </w:r>
      <w:r w:rsidR="00B32C6E" w:rsidRPr="00BF2D28">
        <w:t>, D</w:t>
      </w:r>
      <w:r w:rsidR="002E44F2" w:rsidRPr="00BF2D28">
        <w:t>o</w:t>
      </w:r>
      <w:r w:rsidR="00B32C6E" w:rsidRPr="00BF2D28">
        <w:t xml:space="preserve">H Policy Branch and </w:t>
      </w:r>
      <w:r w:rsidR="00405314" w:rsidRPr="00BF2D28">
        <w:t xml:space="preserve">the </w:t>
      </w:r>
      <w:r w:rsidR="00B32C6E" w:rsidRPr="00BF2D28">
        <w:t>G</w:t>
      </w:r>
      <w:r w:rsidR="00405314" w:rsidRPr="00BF2D28">
        <w:t xml:space="preserve">overnment </w:t>
      </w:r>
      <w:r w:rsidR="00B32C6E" w:rsidRPr="00BF2D28">
        <w:t>A</w:t>
      </w:r>
      <w:r w:rsidR="00405314" w:rsidRPr="00BF2D28">
        <w:t xml:space="preserve">ctuary’s </w:t>
      </w:r>
      <w:r w:rsidR="00B32C6E" w:rsidRPr="00BF2D28">
        <w:t>D</w:t>
      </w:r>
      <w:r w:rsidR="00405314" w:rsidRPr="00BF2D28">
        <w:t>epartment (GAD)</w:t>
      </w:r>
      <w:r w:rsidR="00B32C6E" w:rsidRPr="00BF2D28">
        <w:t>.</w:t>
      </w:r>
    </w:p>
    <w:p w14:paraId="650AC14D" w14:textId="77777777" w:rsidR="004D7B22" w:rsidRPr="00BF2D28" w:rsidRDefault="004D7B22" w:rsidP="00B434A9">
      <w:pPr>
        <w:tabs>
          <w:tab w:val="left" w:pos="540"/>
        </w:tabs>
      </w:pPr>
    </w:p>
    <w:p w14:paraId="68A68468" w14:textId="3F239B66" w:rsidR="004D7B22" w:rsidRPr="00BF2D28" w:rsidRDefault="004D7B22" w:rsidP="00263330">
      <w:pPr>
        <w:numPr>
          <w:ilvl w:val="0"/>
          <w:numId w:val="4"/>
        </w:numPr>
        <w:tabs>
          <w:tab w:val="left" w:pos="540"/>
        </w:tabs>
      </w:pPr>
      <w:r w:rsidRPr="00BF2D28">
        <w:t xml:space="preserve">The timetable is set to enable HSC Pension Scheme accounts to be laid before the Assembly </w:t>
      </w:r>
      <w:r w:rsidR="004608E1" w:rsidRPr="00BF2D28">
        <w:t xml:space="preserve">to meet faster closing. </w:t>
      </w:r>
      <w:r w:rsidRPr="00BF2D28">
        <w:t xml:space="preserve">The timetable </w:t>
      </w:r>
      <w:r w:rsidR="007F4A01" w:rsidRPr="00BF2D28">
        <w:t>setting out 11 month and 12 month requirements including deadline</w:t>
      </w:r>
      <w:r w:rsidR="000C626B" w:rsidRPr="00BF2D28">
        <w:t>s</w:t>
      </w:r>
      <w:r w:rsidR="007F4A01" w:rsidRPr="00BF2D28">
        <w:t xml:space="preserve"> and </w:t>
      </w:r>
      <w:r w:rsidR="00287A15" w:rsidRPr="00BF2D28">
        <w:t xml:space="preserve">business </w:t>
      </w:r>
      <w:r w:rsidR="007F4A01" w:rsidRPr="00BF2D28">
        <w:t xml:space="preserve">areas </w:t>
      </w:r>
      <w:r w:rsidR="00287A15" w:rsidRPr="00BF2D28">
        <w:t>responsible</w:t>
      </w:r>
      <w:r w:rsidR="007F4A01" w:rsidRPr="00BF2D28">
        <w:t xml:space="preserve">, together with year-end audit fieldwork plans </w:t>
      </w:r>
      <w:r w:rsidRPr="00BF2D28">
        <w:t xml:space="preserve">is shown at </w:t>
      </w:r>
      <w:r w:rsidRPr="00BF2D28">
        <w:rPr>
          <w:b/>
        </w:rPr>
        <w:t>Annex A</w:t>
      </w:r>
      <w:r w:rsidRPr="00BF2D28">
        <w:t>.</w:t>
      </w:r>
      <w:r w:rsidR="001010EF" w:rsidRPr="00BF2D28">
        <w:t xml:space="preserve"> </w:t>
      </w:r>
      <w:r w:rsidR="000C626B" w:rsidRPr="00BF2D28">
        <w:t xml:space="preserve">Note </w:t>
      </w:r>
      <w:r w:rsidR="00431D62" w:rsidRPr="00BF2D28">
        <w:t>that, as was the case in the prior year, it has</w:t>
      </w:r>
      <w:r w:rsidR="001010EF" w:rsidRPr="00BF2D28">
        <w:t xml:space="preserve"> been agreed that </w:t>
      </w:r>
      <w:r w:rsidR="000C626B" w:rsidRPr="00BF2D28">
        <w:t xml:space="preserve">best </w:t>
      </w:r>
      <w:r w:rsidR="001010EF" w:rsidRPr="00BF2D28">
        <w:t>estimates will be provided by Pension Branch</w:t>
      </w:r>
      <w:r w:rsidR="000C626B" w:rsidRPr="00BF2D28">
        <w:t xml:space="preserve"> within the 11 month return to facilitate this tighter timeframe</w:t>
      </w:r>
      <w:r w:rsidR="00431D62" w:rsidRPr="00BF2D28">
        <w:t>.</w:t>
      </w:r>
      <w:r w:rsidR="00287A15" w:rsidRPr="00BF2D28">
        <w:t xml:space="preserve"> Actuals should continue to be used for the 12 month return. </w:t>
      </w:r>
    </w:p>
    <w:p w14:paraId="34A1971F" w14:textId="77777777" w:rsidR="001010EF" w:rsidRPr="00BF2D28" w:rsidRDefault="001010EF" w:rsidP="00443FF6">
      <w:pPr>
        <w:tabs>
          <w:tab w:val="left" w:pos="540"/>
        </w:tabs>
      </w:pPr>
    </w:p>
    <w:p w14:paraId="4DEBD3CB" w14:textId="48C556F2" w:rsidR="001010EF" w:rsidRPr="00BF2D28" w:rsidRDefault="001010EF" w:rsidP="00443FF6">
      <w:pPr>
        <w:numPr>
          <w:ilvl w:val="0"/>
          <w:numId w:val="4"/>
        </w:numPr>
        <w:tabs>
          <w:tab w:val="left" w:pos="540"/>
        </w:tabs>
      </w:pPr>
      <w:r w:rsidRPr="00BF2D28">
        <w:t xml:space="preserve">Please review the timetable and ensure you are aware of your area of responsibility and are able to </w:t>
      </w:r>
      <w:r w:rsidR="00D10BFE" w:rsidRPr="00BF2D28">
        <w:t>complete the required action</w:t>
      </w:r>
      <w:r w:rsidRPr="00BF2D28">
        <w:t xml:space="preserve"> by the deadline. If </w:t>
      </w:r>
      <w:r w:rsidR="00D10BFE" w:rsidRPr="00BF2D28">
        <w:t>you have any queries on the action</w:t>
      </w:r>
      <w:r w:rsidRPr="00BF2D28">
        <w:t xml:space="preserve"> you have been allocated, or you have concerns on </w:t>
      </w:r>
      <w:r w:rsidR="00D10BFE" w:rsidRPr="00BF2D28">
        <w:t xml:space="preserve">meeting the deadline, please contact DoH Finance </w:t>
      </w:r>
      <w:r w:rsidR="00D10BFE" w:rsidRPr="00BF2D28">
        <w:rPr>
          <w:b/>
        </w:rPr>
        <w:t>immediately</w:t>
      </w:r>
      <w:r w:rsidR="00D10BFE" w:rsidRPr="00BF2D28">
        <w:t>.</w:t>
      </w:r>
    </w:p>
    <w:p w14:paraId="7FCF4964" w14:textId="77777777" w:rsidR="004D7B22" w:rsidRPr="00BF2D28" w:rsidRDefault="004D7B22">
      <w:pPr>
        <w:jc w:val="both"/>
        <w:rPr>
          <w:b/>
          <w:bCs/>
        </w:rPr>
      </w:pPr>
    </w:p>
    <w:p w14:paraId="4E3F8A39" w14:textId="626FF5C8" w:rsidR="004D7B22" w:rsidRPr="00BF2D28" w:rsidRDefault="004D7B22" w:rsidP="00C37161">
      <w:pPr>
        <w:numPr>
          <w:ilvl w:val="0"/>
          <w:numId w:val="4"/>
        </w:numPr>
        <w:rPr>
          <w:b/>
          <w:bCs/>
        </w:rPr>
      </w:pPr>
      <w:r w:rsidRPr="00BF2D28">
        <w:t xml:space="preserve">In order to meet faster closing deadlines the </w:t>
      </w:r>
      <w:r w:rsidR="006C273B">
        <w:t>2021/22</w:t>
      </w:r>
      <w:r w:rsidRPr="00BF2D28">
        <w:t xml:space="preserve"> timetable is very challenging. It can only be achieved if </w:t>
      </w:r>
      <w:r w:rsidR="004608E1" w:rsidRPr="00BF2D28">
        <w:t>staff and management are</w:t>
      </w:r>
      <w:r w:rsidRPr="00BF2D28">
        <w:t xml:space="preserve"> fully committed and action is taken to ensure that all parts of the organisation contribute appr</w:t>
      </w:r>
      <w:r w:rsidR="004608E1" w:rsidRPr="00BF2D28">
        <w:t>opriately and on a timely basis.</w:t>
      </w:r>
      <w:r w:rsidRPr="00BF2D28">
        <w:br/>
      </w:r>
    </w:p>
    <w:p w14:paraId="76A68126" w14:textId="414394BE" w:rsidR="004D7B22" w:rsidRPr="00BF2D28" w:rsidRDefault="004D7B22" w:rsidP="000A2659">
      <w:pPr>
        <w:numPr>
          <w:ilvl w:val="0"/>
          <w:numId w:val="4"/>
        </w:numPr>
        <w:jc w:val="both"/>
        <w:rPr>
          <w:b/>
          <w:bCs/>
        </w:rPr>
      </w:pPr>
      <w:r w:rsidRPr="00BF2D28">
        <w:t xml:space="preserve">It is essential that BSO </w:t>
      </w:r>
      <w:r w:rsidR="003F0AAE" w:rsidRPr="00BF2D28">
        <w:t>Pension Services</w:t>
      </w:r>
      <w:r w:rsidRPr="00BF2D28">
        <w:t xml:space="preserve"> manage the process surrounding the production of the information required for the annual accounts effectively, and that this information produced for audit is of a high standard and has been subjected to an evidenced quality review at a senior level in the organisation.</w:t>
      </w:r>
      <w:r w:rsidR="00560ECB" w:rsidRPr="00BF2D28">
        <w:t xml:space="preserve"> The links to the Pension Branch returns are included in the related documents section of the cover sheet of this circular.</w:t>
      </w:r>
    </w:p>
    <w:p w14:paraId="6CB583D7" w14:textId="77777777" w:rsidR="004D7B22" w:rsidRPr="00BF2D28" w:rsidRDefault="004D7B22">
      <w:pPr>
        <w:jc w:val="both"/>
        <w:rPr>
          <w:b/>
          <w:bCs/>
        </w:rPr>
      </w:pPr>
    </w:p>
    <w:p w14:paraId="0A8FC4D2" w14:textId="77777777" w:rsidR="004D7B22" w:rsidRPr="00BF2D28" w:rsidRDefault="004D7B22" w:rsidP="00844502">
      <w:pPr>
        <w:pStyle w:val="BodyTextIndent"/>
        <w:spacing w:after="0"/>
        <w:ind w:left="0"/>
        <w:rPr>
          <w:b/>
        </w:rPr>
      </w:pPr>
      <w:r w:rsidRPr="00BF2D28">
        <w:rPr>
          <w:b/>
        </w:rPr>
        <w:t>Action</w:t>
      </w:r>
    </w:p>
    <w:p w14:paraId="487E6D8D" w14:textId="77777777" w:rsidR="004D7B22" w:rsidRPr="00BF2D28" w:rsidRDefault="004D7B22" w:rsidP="00844502">
      <w:pPr>
        <w:pStyle w:val="BodyTextIndent"/>
        <w:spacing w:after="0"/>
        <w:ind w:left="0"/>
      </w:pPr>
    </w:p>
    <w:p w14:paraId="353D9C14" w14:textId="6ACB9777" w:rsidR="004D7B22" w:rsidRPr="00BF2D28" w:rsidRDefault="004D7B22" w:rsidP="00E111BD">
      <w:pPr>
        <w:pStyle w:val="BodyTextIndent"/>
        <w:numPr>
          <w:ilvl w:val="0"/>
          <w:numId w:val="4"/>
        </w:numPr>
        <w:spacing w:after="0"/>
      </w:pPr>
      <w:r w:rsidRPr="00BF2D28">
        <w:t xml:space="preserve">The </w:t>
      </w:r>
      <w:r w:rsidR="001833B2" w:rsidRPr="00BF2D28">
        <w:t xml:space="preserve">BSO </w:t>
      </w:r>
      <w:r w:rsidRPr="00BF2D28">
        <w:t>Operations Director</w:t>
      </w:r>
      <w:r w:rsidR="00F33DCC" w:rsidRPr="00BF2D28">
        <w:t xml:space="preserve"> and</w:t>
      </w:r>
      <w:r w:rsidR="001833B2" w:rsidRPr="00BF2D28">
        <w:t xml:space="preserve"> D</w:t>
      </w:r>
      <w:r w:rsidR="00864BD6" w:rsidRPr="00BF2D28">
        <w:t>oH</w:t>
      </w:r>
      <w:r w:rsidR="00F33DCC" w:rsidRPr="00BF2D28">
        <w:t xml:space="preserve"> </w:t>
      </w:r>
      <w:r w:rsidR="00864BD6" w:rsidRPr="00BF2D28">
        <w:t>Workforce Policy</w:t>
      </w:r>
      <w:r w:rsidR="00F33DCC" w:rsidRPr="00BF2D28">
        <w:t xml:space="preserve"> Director are </w:t>
      </w:r>
      <w:r w:rsidRPr="00BF2D28">
        <w:t>asked to bring this letter and guidance to the attention of staff involved in supplying information for the accounts preparation</w:t>
      </w:r>
      <w:r w:rsidR="00287A15" w:rsidRPr="00BF2D28">
        <w:t xml:space="preserve"> and ensure responsibility is assumed for provision of </w:t>
      </w:r>
      <w:r w:rsidR="00AB02A3" w:rsidRPr="00BF2D28">
        <w:t xml:space="preserve">information for </w:t>
      </w:r>
      <w:r w:rsidR="00287A15" w:rsidRPr="00BF2D28">
        <w:t xml:space="preserve">the allocated areas by the deadlines detailed within Annex A. </w:t>
      </w:r>
    </w:p>
    <w:p w14:paraId="78DBDFBC" w14:textId="77777777" w:rsidR="004D7B22" w:rsidRPr="00BF2D28" w:rsidRDefault="004D7B22" w:rsidP="00844502">
      <w:pPr>
        <w:pStyle w:val="BodyTextIndent"/>
        <w:spacing w:after="0"/>
        <w:ind w:left="0"/>
      </w:pPr>
    </w:p>
    <w:p w14:paraId="4F04E4ED" w14:textId="75BDC8EA" w:rsidR="00AB02A3" w:rsidRPr="00BF2D28" w:rsidRDefault="004D7B22" w:rsidP="00AB02A3">
      <w:pPr>
        <w:tabs>
          <w:tab w:val="left" w:pos="1152"/>
        </w:tabs>
        <w:rPr>
          <w:bCs/>
          <w:lang w:val="en-US"/>
        </w:rPr>
      </w:pPr>
      <w:r w:rsidRPr="00BF2D28">
        <w:t xml:space="preserve">Should you have any queries, please contact </w:t>
      </w:r>
      <w:r w:rsidR="00723EC1" w:rsidRPr="00BF2D28">
        <w:t xml:space="preserve">Josie Newell on </w:t>
      </w:r>
      <w:r w:rsidRPr="00BF2D28">
        <w:t>(028) 90</w:t>
      </w:r>
      <w:r w:rsidR="00723EC1" w:rsidRPr="00BF2D28">
        <w:t>37</w:t>
      </w:r>
      <w:r w:rsidR="001833B2" w:rsidRPr="00BF2D28">
        <w:t xml:space="preserve"> </w:t>
      </w:r>
      <w:r w:rsidR="00723EC1" w:rsidRPr="00BF2D28">
        <w:t>8626</w:t>
      </w:r>
      <w:r w:rsidR="00AB02A3" w:rsidRPr="00BF2D28">
        <w:t xml:space="preserve"> or </w:t>
      </w:r>
      <w:hyperlink r:id="rId6" w:history="1">
        <w:r w:rsidR="00443FF6" w:rsidRPr="00BF2D28">
          <w:rPr>
            <w:rStyle w:val="Hyperlink"/>
            <w:bCs/>
            <w:lang w:val="en-US"/>
          </w:rPr>
          <w:t>josie.newell@health-ni.gov.uk</w:t>
        </w:r>
      </w:hyperlink>
    </w:p>
    <w:p w14:paraId="1F7EA3EC" w14:textId="77777777" w:rsidR="00443FF6" w:rsidRPr="00BF2D28" w:rsidRDefault="00443FF6" w:rsidP="00AB02A3">
      <w:pPr>
        <w:tabs>
          <w:tab w:val="left" w:pos="1152"/>
        </w:tabs>
        <w:rPr>
          <w:bCs/>
          <w:lang w:val="en-US"/>
        </w:rPr>
      </w:pPr>
    </w:p>
    <w:p w14:paraId="0CD1A79B" w14:textId="77777777" w:rsidR="00443FF6" w:rsidRPr="00BF2D28" w:rsidRDefault="00443FF6" w:rsidP="00AB02A3">
      <w:pPr>
        <w:tabs>
          <w:tab w:val="left" w:pos="1152"/>
        </w:tabs>
        <w:rPr>
          <w:bCs/>
          <w:lang w:val="en-US"/>
        </w:rPr>
      </w:pPr>
    </w:p>
    <w:p w14:paraId="73663839" w14:textId="62179CAE" w:rsidR="004D7B22" w:rsidRPr="00BF2D28" w:rsidRDefault="006B3C64" w:rsidP="00443FF6">
      <w:r w:rsidRPr="00BF2D28">
        <w:t xml:space="preserve">Many thanks for your cooperation. </w:t>
      </w:r>
    </w:p>
    <w:p w14:paraId="3387D9B2" w14:textId="77777777" w:rsidR="004063E4" w:rsidRPr="00BF2D28" w:rsidRDefault="004063E4" w:rsidP="009829B6">
      <w:pPr>
        <w:ind w:firstLine="180"/>
      </w:pPr>
    </w:p>
    <w:p w14:paraId="7DB74638" w14:textId="77777777" w:rsidR="004D7B22" w:rsidRPr="00BF2D28" w:rsidRDefault="004D7B22" w:rsidP="009829B6">
      <w:pPr>
        <w:ind w:firstLine="180"/>
      </w:pPr>
    </w:p>
    <w:p w14:paraId="7B0DDA43" w14:textId="77777777" w:rsidR="004D7B22" w:rsidRPr="00BF2D28" w:rsidRDefault="004D7B22" w:rsidP="009829B6">
      <w:pPr>
        <w:ind w:firstLine="180"/>
      </w:pPr>
    </w:p>
    <w:p w14:paraId="5D7B295C" w14:textId="4ADFC134" w:rsidR="004D7B22" w:rsidRPr="00BF2D28" w:rsidRDefault="004548CA" w:rsidP="00443FF6">
      <w:pPr>
        <w:rPr>
          <w:b/>
        </w:rPr>
      </w:pPr>
      <w:r w:rsidRPr="00BF2D28">
        <w:rPr>
          <w:b/>
        </w:rPr>
        <w:t>Josie Newell</w:t>
      </w:r>
    </w:p>
    <w:p w14:paraId="58EE9359" w14:textId="77777777" w:rsidR="004D7B22" w:rsidRPr="00BF2D28" w:rsidRDefault="004D7B22" w:rsidP="00443FF6">
      <w:pPr>
        <w:rPr>
          <w:b/>
        </w:rPr>
        <w:sectPr w:rsidR="004D7B22" w:rsidRPr="00BF2D28" w:rsidSect="00443FF6">
          <w:pgSz w:w="11906" w:h="16838" w:code="9"/>
          <w:pgMar w:top="709" w:right="1287" w:bottom="1440" w:left="1134" w:header="709" w:footer="709" w:gutter="0"/>
          <w:cols w:space="708"/>
          <w:docGrid w:linePitch="360"/>
        </w:sectPr>
      </w:pPr>
      <w:r w:rsidRPr="00BF2D28">
        <w:rPr>
          <w:b/>
        </w:rPr>
        <w:t xml:space="preserve">Financial Accounting Unit </w:t>
      </w:r>
    </w:p>
    <w:p w14:paraId="65F3AB47" w14:textId="2A7E4D7C" w:rsidR="00D10BFE" w:rsidRPr="00F34681" w:rsidRDefault="00D10BFE" w:rsidP="00D10BFE">
      <w:pPr>
        <w:jc w:val="both"/>
        <w:rPr>
          <w:b/>
        </w:rPr>
      </w:pPr>
      <w:r w:rsidRPr="002234CB">
        <w:rPr>
          <w:rFonts w:ascii="Arial" w:hAnsi="Arial" w:cs="Arial"/>
        </w:rPr>
        <w:lastRenderedPageBreak/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2234CB">
        <w:rPr>
          <w:rFonts w:ascii="Arial" w:hAnsi="Arial" w:cs="Arial"/>
        </w:rPr>
        <w:tab/>
      </w:r>
      <w:r w:rsidRPr="00F34681">
        <w:rPr>
          <w:b/>
        </w:rPr>
        <w:t>Annex A</w:t>
      </w:r>
    </w:p>
    <w:p w14:paraId="4A6F529B" w14:textId="77777777" w:rsidR="009C3062" w:rsidRPr="002234CB" w:rsidRDefault="009C3062" w:rsidP="00D10BFE">
      <w:pPr>
        <w:jc w:val="both"/>
        <w:rPr>
          <w:rFonts w:ascii="Arial" w:hAnsi="Arial" w:cs="Arial"/>
          <w:b/>
        </w:rPr>
      </w:pPr>
    </w:p>
    <w:p w14:paraId="43389D75" w14:textId="77777777" w:rsidR="006C273B" w:rsidRPr="006C273B" w:rsidRDefault="006C273B" w:rsidP="006C273B">
      <w:pPr>
        <w:ind w:left="-180" w:firstLine="180"/>
        <w:rPr>
          <w:b/>
        </w:rPr>
      </w:pPr>
      <w:r w:rsidRPr="006C273B">
        <w:rPr>
          <w:b/>
        </w:rPr>
        <w:t>HSC Pension Scheme</w:t>
      </w:r>
    </w:p>
    <w:p w14:paraId="6DFD724F" w14:textId="77777777" w:rsidR="006C273B" w:rsidRPr="006C273B" w:rsidRDefault="006C273B" w:rsidP="006C273B">
      <w:pPr>
        <w:ind w:left="-650" w:firstLine="650"/>
        <w:rPr>
          <w:b/>
        </w:rPr>
      </w:pPr>
      <w:r w:rsidRPr="006C273B">
        <w:rPr>
          <w:b/>
        </w:rPr>
        <w:t>Timetable for 2021/22</w:t>
      </w:r>
    </w:p>
    <w:p w14:paraId="2F17349D" w14:textId="77777777" w:rsidR="006C273B" w:rsidRPr="006C273B" w:rsidRDefault="006C273B" w:rsidP="006C273B">
      <w:pPr>
        <w:jc w:val="both"/>
        <w:rPr>
          <w:b/>
        </w:rPr>
      </w:pPr>
    </w:p>
    <w:p w14:paraId="284A44E0" w14:textId="77777777" w:rsidR="006C273B" w:rsidRPr="006C273B" w:rsidRDefault="006C273B" w:rsidP="006C273B">
      <w:pPr>
        <w:jc w:val="both"/>
        <w:rPr>
          <w:b/>
          <w:u w:val="single"/>
        </w:rPr>
      </w:pPr>
      <w:r w:rsidRPr="006C273B">
        <w:rPr>
          <w:b/>
          <w:u w:val="single"/>
        </w:rPr>
        <w:t xml:space="preserve">Valuation to be used – 2016 </w:t>
      </w:r>
    </w:p>
    <w:p w14:paraId="4441170C" w14:textId="77777777" w:rsidR="006C273B" w:rsidRPr="006C273B" w:rsidRDefault="006C273B" w:rsidP="006C273B">
      <w:pPr>
        <w:jc w:val="both"/>
        <w:rPr>
          <w:b/>
        </w:rPr>
      </w:pPr>
    </w:p>
    <w:p w14:paraId="101E00C1" w14:textId="77777777" w:rsidR="006C273B" w:rsidRPr="006C273B" w:rsidRDefault="006C273B" w:rsidP="006C273B">
      <w:pPr>
        <w:jc w:val="both"/>
        <w:rPr>
          <w:b/>
        </w:rPr>
      </w:pPr>
      <w:r w:rsidRPr="006C273B">
        <w:rPr>
          <w:b/>
        </w:rPr>
        <w:t>Timetable for Resource Accounts and Calculation of Pension Scheme Liability</w:t>
      </w:r>
    </w:p>
    <w:p w14:paraId="6A0F93F9" w14:textId="77777777" w:rsidR="006C273B" w:rsidRPr="006C273B" w:rsidRDefault="006C273B" w:rsidP="006C273B">
      <w:pPr>
        <w:jc w:val="both"/>
        <w:rPr>
          <w:b/>
        </w:rPr>
      </w:pPr>
    </w:p>
    <w:p w14:paraId="72ACA992" w14:textId="77777777" w:rsidR="006C273B" w:rsidRPr="006C273B" w:rsidRDefault="006C273B" w:rsidP="006C273B">
      <w:pPr>
        <w:jc w:val="both"/>
        <w:rPr>
          <w:b/>
        </w:rPr>
      </w:pPr>
      <w:r w:rsidRPr="006C273B">
        <w:rPr>
          <w:b/>
        </w:rPr>
        <w:t>11 Month Cash Flow</w:t>
      </w:r>
    </w:p>
    <w:p w14:paraId="64F23861" w14:textId="77777777" w:rsidR="006C273B" w:rsidRPr="006C273B" w:rsidRDefault="006C273B" w:rsidP="006C273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242"/>
        <w:gridCol w:w="2058"/>
      </w:tblGrid>
      <w:tr w:rsidR="006C273B" w:rsidRPr="006C273B" w14:paraId="2C81D46D" w14:textId="77777777" w:rsidTr="00CD5486">
        <w:tc>
          <w:tcPr>
            <w:tcW w:w="5097" w:type="dxa"/>
            <w:shd w:val="clear" w:color="auto" w:fill="auto"/>
          </w:tcPr>
          <w:p w14:paraId="3B69C245" w14:textId="77777777" w:rsidR="006C273B" w:rsidRPr="006C273B" w:rsidRDefault="006C273B" w:rsidP="00CD5486">
            <w:pPr>
              <w:jc w:val="both"/>
            </w:pPr>
            <w:r w:rsidRPr="006C273B">
              <w:t>It has been agreed that roll forward information will be supplied by Financial Accounting Unit (FAU) to GAD for 11 months to 28/02/22. To enable this:-</w:t>
            </w:r>
          </w:p>
        </w:tc>
        <w:tc>
          <w:tcPr>
            <w:tcW w:w="2497" w:type="dxa"/>
            <w:shd w:val="clear" w:color="auto" w:fill="auto"/>
          </w:tcPr>
          <w:p w14:paraId="634EB385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5D49E914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777F9674" w14:textId="77777777" w:rsidR="006C273B" w:rsidRPr="006C273B" w:rsidRDefault="006C273B" w:rsidP="00CD5486">
            <w:pPr>
              <w:jc w:val="center"/>
              <w:rPr>
                <w:b/>
              </w:rPr>
            </w:pPr>
            <w:r w:rsidRPr="006C273B">
              <w:rPr>
                <w:b/>
              </w:rPr>
              <w:t>Deadline</w:t>
            </w:r>
          </w:p>
        </w:tc>
        <w:tc>
          <w:tcPr>
            <w:tcW w:w="2323" w:type="dxa"/>
            <w:shd w:val="clear" w:color="auto" w:fill="auto"/>
          </w:tcPr>
          <w:p w14:paraId="74BBD972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6591ED9D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2A557BF9" w14:textId="77777777" w:rsidR="006C273B" w:rsidRPr="006C273B" w:rsidRDefault="006C273B" w:rsidP="00CD5486">
            <w:pPr>
              <w:jc w:val="center"/>
              <w:rPr>
                <w:b/>
              </w:rPr>
            </w:pPr>
            <w:r w:rsidRPr="006C273B">
              <w:rPr>
                <w:b/>
              </w:rPr>
              <w:t>Action by</w:t>
            </w:r>
          </w:p>
        </w:tc>
      </w:tr>
      <w:tr w:rsidR="006C273B" w:rsidRPr="006C273B" w14:paraId="5BAC52CA" w14:textId="77777777" w:rsidTr="00CD5486">
        <w:tc>
          <w:tcPr>
            <w:tcW w:w="5097" w:type="dxa"/>
            <w:shd w:val="clear" w:color="auto" w:fill="auto"/>
          </w:tcPr>
          <w:p w14:paraId="0BBF32B1" w14:textId="77777777" w:rsidR="006C273B" w:rsidRPr="006C273B" w:rsidRDefault="006C273B" w:rsidP="00CD5486">
            <w:pPr>
              <w:ind w:left="720"/>
              <w:jc w:val="both"/>
            </w:pPr>
          </w:p>
          <w:p w14:paraId="410862A7" w14:textId="77777777" w:rsidR="006C273B" w:rsidRPr="006C273B" w:rsidRDefault="006C273B" w:rsidP="006C273B">
            <w:pPr>
              <w:pStyle w:val="ListParagraph"/>
              <w:numPr>
                <w:ilvl w:val="0"/>
                <w:numId w:val="6"/>
              </w:numPr>
              <w:contextualSpacing/>
              <w:jc w:val="both"/>
            </w:pPr>
            <w:r w:rsidRPr="006C273B">
              <w:t xml:space="preserve">Pension Service (PS) will complete the annual return, Annex B, as at 28/02/22 and send to FAU. Some estimates may be required. </w:t>
            </w:r>
          </w:p>
          <w:p w14:paraId="79BD7CE7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497" w:type="dxa"/>
            <w:shd w:val="clear" w:color="auto" w:fill="auto"/>
          </w:tcPr>
          <w:p w14:paraId="756D9AC2" w14:textId="77777777" w:rsidR="006C273B" w:rsidRPr="006C273B" w:rsidRDefault="006C273B" w:rsidP="00CD5486">
            <w:pPr>
              <w:jc w:val="center"/>
            </w:pPr>
          </w:p>
          <w:p w14:paraId="08D6F399" w14:textId="77777777" w:rsidR="006C273B" w:rsidRPr="006C273B" w:rsidRDefault="006C273B" w:rsidP="00CD5486">
            <w:pPr>
              <w:jc w:val="center"/>
            </w:pPr>
          </w:p>
          <w:p w14:paraId="394BF672" w14:textId="77777777" w:rsidR="006C273B" w:rsidRPr="006C273B" w:rsidRDefault="006C273B" w:rsidP="00CD5486">
            <w:pPr>
              <w:jc w:val="center"/>
            </w:pPr>
            <w:r w:rsidRPr="006C273B">
              <w:t>11/03/22</w:t>
            </w:r>
          </w:p>
        </w:tc>
        <w:tc>
          <w:tcPr>
            <w:tcW w:w="2323" w:type="dxa"/>
            <w:shd w:val="clear" w:color="auto" w:fill="auto"/>
          </w:tcPr>
          <w:p w14:paraId="323A404B" w14:textId="77777777" w:rsidR="006C273B" w:rsidRPr="006C273B" w:rsidRDefault="006C273B" w:rsidP="00CD5486">
            <w:pPr>
              <w:jc w:val="center"/>
            </w:pPr>
          </w:p>
          <w:p w14:paraId="7FC13EA8" w14:textId="77777777" w:rsidR="006C273B" w:rsidRPr="006C273B" w:rsidRDefault="006C273B" w:rsidP="00CD5486">
            <w:pPr>
              <w:jc w:val="center"/>
            </w:pPr>
          </w:p>
          <w:p w14:paraId="338DA2D3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</w:tc>
      </w:tr>
      <w:tr w:rsidR="006C273B" w:rsidRPr="006C273B" w14:paraId="14ACCFC4" w14:textId="77777777" w:rsidTr="00CD5486">
        <w:tc>
          <w:tcPr>
            <w:tcW w:w="5097" w:type="dxa"/>
            <w:shd w:val="clear" w:color="auto" w:fill="auto"/>
          </w:tcPr>
          <w:p w14:paraId="7CF0FCED" w14:textId="77777777" w:rsidR="006C273B" w:rsidRPr="006C273B" w:rsidRDefault="006C273B" w:rsidP="00CD5486">
            <w:pPr>
              <w:ind w:left="720"/>
              <w:jc w:val="both"/>
            </w:pPr>
          </w:p>
          <w:p w14:paraId="4423FF5E" w14:textId="77777777" w:rsidR="006C273B" w:rsidRPr="006C273B" w:rsidRDefault="006C273B" w:rsidP="006C273B">
            <w:pPr>
              <w:pStyle w:val="ListParagraph"/>
              <w:numPr>
                <w:ilvl w:val="0"/>
                <w:numId w:val="6"/>
              </w:numPr>
              <w:contextualSpacing/>
              <w:jc w:val="both"/>
            </w:pPr>
            <w:r w:rsidRPr="006C273B">
              <w:t>Pension Service (PS) will be sent Analytical Review by FAU week commencing 28/03/2022 for completion and return by 01/04/2022</w:t>
            </w:r>
          </w:p>
          <w:p w14:paraId="340888F3" w14:textId="77777777" w:rsidR="006C273B" w:rsidRPr="006C273B" w:rsidRDefault="006C273B" w:rsidP="00CD5486">
            <w:pPr>
              <w:pStyle w:val="ListParagraph"/>
              <w:jc w:val="both"/>
            </w:pPr>
          </w:p>
        </w:tc>
        <w:tc>
          <w:tcPr>
            <w:tcW w:w="2497" w:type="dxa"/>
            <w:shd w:val="clear" w:color="auto" w:fill="auto"/>
          </w:tcPr>
          <w:p w14:paraId="467A96E9" w14:textId="77777777" w:rsidR="006C273B" w:rsidRPr="006C273B" w:rsidRDefault="006C273B" w:rsidP="00CD5486">
            <w:pPr>
              <w:jc w:val="center"/>
            </w:pPr>
          </w:p>
          <w:p w14:paraId="67FC512B" w14:textId="77777777" w:rsidR="006C273B" w:rsidRPr="006C273B" w:rsidRDefault="006C273B" w:rsidP="00CD5486">
            <w:pPr>
              <w:jc w:val="center"/>
            </w:pPr>
            <w:r w:rsidRPr="006C273B">
              <w:t>01/04/22</w:t>
            </w:r>
          </w:p>
        </w:tc>
        <w:tc>
          <w:tcPr>
            <w:tcW w:w="2323" w:type="dxa"/>
            <w:shd w:val="clear" w:color="auto" w:fill="auto"/>
          </w:tcPr>
          <w:p w14:paraId="55C2C75F" w14:textId="77777777" w:rsidR="006C273B" w:rsidRPr="006C273B" w:rsidRDefault="006C273B" w:rsidP="00CD5486">
            <w:pPr>
              <w:jc w:val="center"/>
            </w:pPr>
          </w:p>
          <w:p w14:paraId="2C675ECE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</w:tc>
      </w:tr>
      <w:tr w:rsidR="006C273B" w:rsidRPr="006C273B" w14:paraId="20B03210" w14:textId="77777777" w:rsidTr="00CD5486">
        <w:tc>
          <w:tcPr>
            <w:tcW w:w="5097" w:type="dxa"/>
            <w:shd w:val="clear" w:color="auto" w:fill="auto"/>
          </w:tcPr>
          <w:p w14:paraId="44AB5E41" w14:textId="77777777" w:rsidR="006C273B" w:rsidRPr="006C273B" w:rsidRDefault="006C273B" w:rsidP="00CD5486">
            <w:pPr>
              <w:ind w:left="720"/>
              <w:jc w:val="both"/>
            </w:pPr>
          </w:p>
          <w:p w14:paraId="7D4BCB76" w14:textId="77777777" w:rsidR="006C273B" w:rsidRPr="006C273B" w:rsidRDefault="006C273B" w:rsidP="006C273B">
            <w:pPr>
              <w:pStyle w:val="ListParagraph"/>
              <w:numPr>
                <w:ilvl w:val="0"/>
                <w:numId w:val="6"/>
              </w:numPr>
              <w:contextualSpacing/>
              <w:jc w:val="both"/>
            </w:pPr>
            <w:r w:rsidRPr="006C273B">
              <w:t>PS to provide the following information:</w:t>
            </w:r>
          </w:p>
          <w:p w14:paraId="5FC964A0" w14:textId="77777777" w:rsidR="006C273B" w:rsidRPr="006C273B" w:rsidRDefault="006C273B" w:rsidP="006C273B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6C273B">
              <w:t>Capitalised enhanced retirements information</w:t>
            </w:r>
          </w:p>
          <w:p w14:paraId="4C264A95" w14:textId="77777777" w:rsidR="006C273B" w:rsidRPr="006C273B" w:rsidRDefault="006C273B" w:rsidP="006C273B">
            <w:pPr>
              <w:pStyle w:val="ListParagraph"/>
              <w:numPr>
                <w:ilvl w:val="0"/>
                <w:numId w:val="9"/>
              </w:numPr>
              <w:contextualSpacing/>
              <w:jc w:val="both"/>
            </w:pPr>
            <w:r w:rsidRPr="006C273B">
              <w:t>Payroll information for March monthly total and full 12 months ending 31 March 2022.</w:t>
            </w:r>
          </w:p>
          <w:p w14:paraId="740804A7" w14:textId="77777777" w:rsidR="006C273B" w:rsidRPr="006C273B" w:rsidRDefault="006C273B" w:rsidP="00CD5486">
            <w:pPr>
              <w:pStyle w:val="ListParagraph"/>
              <w:jc w:val="both"/>
            </w:pPr>
          </w:p>
          <w:p w14:paraId="72A7624B" w14:textId="77777777" w:rsidR="006C273B" w:rsidRPr="006C273B" w:rsidRDefault="006C273B" w:rsidP="00CD5486">
            <w:pPr>
              <w:ind w:left="720"/>
              <w:jc w:val="both"/>
              <w:rPr>
                <w:b/>
                <w:i/>
              </w:rPr>
            </w:pPr>
            <w:r w:rsidRPr="006C273B">
              <w:rPr>
                <w:b/>
                <w:i/>
              </w:rPr>
              <w:t>Please note that all interfaces concerning membership statistics MUST be up to date. Please inform FAU if this is not the case.</w:t>
            </w:r>
          </w:p>
          <w:p w14:paraId="1A72B92E" w14:textId="77777777" w:rsidR="006C273B" w:rsidRPr="006C273B" w:rsidRDefault="006C273B" w:rsidP="00CD5486">
            <w:pPr>
              <w:jc w:val="both"/>
            </w:pPr>
          </w:p>
        </w:tc>
        <w:tc>
          <w:tcPr>
            <w:tcW w:w="2497" w:type="dxa"/>
            <w:shd w:val="clear" w:color="auto" w:fill="auto"/>
          </w:tcPr>
          <w:p w14:paraId="3E36DCC6" w14:textId="77777777" w:rsidR="006C273B" w:rsidRPr="006C273B" w:rsidRDefault="006C273B" w:rsidP="00CD5486">
            <w:pPr>
              <w:jc w:val="center"/>
            </w:pPr>
          </w:p>
          <w:p w14:paraId="59C06135" w14:textId="77777777" w:rsidR="006C273B" w:rsidRPr="006C273B" w:rsidRDefault="006C273B" w:rsidP="00CD5486">
            <w:pPr>
              <w:jc w:val="center"/>
            </w:pPr>
          </w:p>
          <w:p w14:paraId="445E20D2" w14:textId="77777777" w:rsidR="006C273B" w:rsidRPr="006C273B" w:rsidRDefault="006C273B" w:rsidP="00CD5486">
            <w:pPr>
              <w:jc w:val="center"/>
            </w:pPr>
            <w:r w:rsidRPr="006C273B">
              <w:t>01/04/22</w:t>
            </w:r>
          </w:p>
        </w:tc>
        <w:tc>
          <w:tcPr>
            <w:tcW w:w="2323" w:type="dxa"/>
            <w:shd w:val="clear" w:color="auto" w:fill="auto"/>
          </w:tcPr>
          <w:p w14:paraId="6A1DE7B6" w14:textId="77777777" w:rsidR="006C273B" w:rsidRPr="006C273B" w:rsidRDefault="006C273B" w:rsidP="00CD5486">
            <w:pPr>
              <w:jc w:val="center"/>
            </w:pPr>
          </w:p>
          <w:p w14:paraId="184F1FA4" w14:textId="77777777" w:rsidR="006C273B" w:rsidRPr="006C273B" w:rsidRDefault="006C273B" w:rsidP="00CD5486">
            <w:pPr>
              <w:jc w:val="center"/>
            </w:pPr>
          </w:p>
          <w:p w14:paraId="2E7D86FC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</w:tc>
      </w:tr>
      <w:tr w:rsidR="006C273B" w:rsidRPr="006C273B" w14:paraId="44494E05" w14:textId="77777777" w:rsidTr="00CD5486">
        <w:tc>
          <w:tcPr>
            <w:tcW w:w="5097" w:type="dxa"/>
            <w:shd w:val="clear" w:color="auto" w:fill="auto"/>
          </w:tcPr>
          <w:p w14:paraId="227D525A" w14:textId="77777777" w:rsidR="006C273B" w:rsidRPr="006C273B" w:rsidRDefault="006C273B" w:rsidP="00CD5486">
            <w:pPr>
              <w:pStyle w:val="ListParagraph"/>
              <w:jc w:val="both"/>
            </w:pPr>
          </w:p>
          <w:p w14:paraId="3CCD0590" w14:textId="77777777" w:rsidR="006C273B" w:rsidRPr="006C273B" w:rsidRDefault="006C273B" w:rsidP="006C273B">
            <w:pPr>
              <w:pStyle w:val="ListParagraph"/>
              <w:numPr>
                <w:ilvl w:val="0"/>
                <w:numId w:val="6"/>
              </w:numPr>
              <w:contextualSpacing/>
              <w:jc w:val="both"/>
            </w:pPr>
            <w:r w:rsidRPr="006C273B">
              <w:t>Cash flow information for 11 month to 28 February 2022 to be provided to GAD.</w:t>
            </w:r>
          </w:p>
          <w:p w14:paraId="205B2800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</w:tc>
        <w:tc>
          <w:tcPr>
            <w:tcW w:w="2497" w:type="dxa"/>
            <w:shd w:val="clear" w:color="auto" w:fill="auto"/>
          </w:tcPr>
          <w:p w14:paraId="641A54CD" w14:textId="77777777" w:rsidR="006C273B" w:rsidRPr="006C273B" w:rsidRDefault="006C273B" w:rsidP="00CD5486">
            <w:pPr>
              <w:jc w:val="center"/>
            </w:pPr>
          </w:p>
          <w:p w14:paraId="61341D47" w14:textId="77777777" w:rsidR="006C273B" w:rsidRPr="006C273B" w:rsidRDefault="006C273B" w:rsidP="00CD5486">
            <w:pPr>
              <w:jc w:val="center"/>
            </w:pPr>
            <w:r w:rsidRPr="006C273B">
              <w:t>08/04/21</w:t>
            </w:r>
          </w:p>
        </w:tc>
        <w:tc>
          <w:tcPr>
            <w:tcW w:w="2323" w:type="dxa"/>
            <w:shd w:val="clear" w:color="auto" w:fill="auto"/>
          </w:tcPr>
          <w:p w14:paraId="275420B5" w14:textId="77777777" w:rsidR="006C273B" w:rsidRPr="006C273B" w:rsidRDefault="006C273B" w:rsidP="00CD5486">
            <w:pPr>
              <w:jc w:val="center"/>
            </w:pPr>
          </w:p>
          <w:p w14:paraId="61779984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</w:tbl>
    <w:p w14:paraId="4B42F354" w14:textId="77777777" w:rsidR="006C273B" w:rsidRPr="002234CB" w:rsidRDefault="006C273B" w:rsidP="006C273B">
      <w:pPr>
        <w:jc w:val="both"/>
        <w:rPr>
          <w:rFonts w:ascii="Arial" w:hAnsi="Arial" w:cs="Arial"/>
        </w:rPr>
      </w:pPr>
    </w:p>
    <w:p w14:paraId="627DAB5D" w14:textId="77777777" w:rsidR="006C273B" w:rsidRPr="002234CB" w:rsidRDefault="006C273B" w:rsidP="006C273B">
      <w:pPr>
        <w:jc w:val="both"/>
        <w:rPr>
          <w:rFonts w:ascii="Arial" w:hAnsi="Arial" w:cs="Arial"/>
        </w:rPr>
      </w:pPr>
      <w:r w:rsidRPr="002234CB">
        <w:rPr>
          <w:rFonts w:ascii="Arial" w:hAnsi="Arial" w:cs="Arial"/>
        </w:rPr>
        <w:tab/>
      </w:r>
    </w:p>
    <w:p w14:paraId="4CC560FF" w14:textId="1C6FF20A" w:rsidR="00097B0A" w:rsidRPr="00BF2D28" w:rsidRDefault="00097B0A" w:rsidP="00097B0A">
      <w:pPr>
        <w:jc w:val="both"/>
      </w:pPr>
    </w:p>
    <w:p w14:paraId="4B26EC34" w14:textId="77777777" w:rsidR="00097B0A" w:rsidRPr="00BF2D28" w:rsidRDefault="00097B0A" w:rsidP="00097B0A">
      <w:pPr>
        <w:jc w:val="both"/>
      </w:pPr>
    </w:p>
    <w:p w14:paraId="57968572" w14:textId="0A24046D" w:rsidR="009C3062" w:rsidRPr="00BF2D28" w:rsidRDefault="009C3062" w:rsidP="00097B0A">
      <w:pPr>
        <w:jc w:val="both"/>
      </w:pPr>
      <w:r>
        <w:br w:type="page"/>
      </w:r>
    </w:p>
    <w:p w14:paraId="786B8E7D" w14:textId="77777777" w:rsidR="006C273B" w:rsidRPr="006C273B" w:rsidRDefault="006C273B" w:rsidP="006C273B">
      <w:pPr>
        <w:jc w:val="both"/>
        <w:rPr>
          <w:b/>
        </w:rPr>
      </w:pPr>
      <w:r w:rsidRPr="006C273B">
        <w:rPr>
          <w:b/>
        </w:rPr>
        <w:lastRenderedPageBreak/>
        <w:t>12 Month Resource Accounts</w:t>
      </w:r>
    </w:p>
    <w:p w14:paraId="51463AC2" w14:textId="77777777" w:rsidR="006C273B" w:rsidRPr="006C273B" w:rsidRDefault="006C273B" w:rsidP="006C27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2278"/>
        <w:gridCol w:w="2097"/>
      </w:tblGrid>
      <w:tr w:rsidR="006C273B" w:rsidRPr="006C273B" w14:paraId="2DA52748" w14:textId="77777777" w:rsidTr="00CD5486">
        <w:tc>
          <w:tcPr>
            <w:tcW w:w="5071" w:type="dxa"/>
            <w:shd w:val="clear" w:color="auto" w:fill="auto"/>
          </w:tcPr>
          <w:p w14:paraId="0E490D4E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2390213C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6B57C19A" w14:textId="77777777" w:rsidR="006C273B" w:rsidRPr="006C273B" w:rsidRDefault="006C273B" w:rsidP="00CD5486">
            <w:pPr>
              <w:jc w:val="center"/>
              <w:rPr>
                <w:b/>
              </w:rPr>
            </w:pPr>
            <w:r w:rsidRPr="006C273B">
              <w:rPr>
                <w:b/>
              </w:rPr>
              <w:t>Deadline</w:t>
            </w:r>
          </w:p>
        </w:tc>
        <w:tc>
          <w:tcPr>
            <w:tcW w:w="2337" w:type="dxa"/>
            <w:shd w:val="clear" w:color="auto" w:fill="auto"/>
          </w:tcPr>
          <w:p w14:paraId="20AB23BD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6086C7A0" w14:textId="77777777" w:rsidR="006C273B" w:rsidRPr="006C273B" w:rsidRDefault="006C273B" w:rsidP="00CD5486">
            <w:pPr>
              <w:jc w:val="center"/>
              <w:rPr>
                <w:b/>
              </w:rPr>
            </w:pPr>
            <w:r w:rsidRPr="006C273B">
              <w:rPr>
                <w:b/>
              </w:rPr>
              <w:t>Action by</w:t>
            </w:r>
          </w:p>
        </w:tc>
      </w:tr>
      <w:tr w:rsidR="006C273B" w:rsidRPr="006C273B" w14:paraId="322A4953" w14:textId="77777777" w:rsidTr="00CD5486">
        <w:tc>
          <w:tcPr>
            <w:tcW w:w="5071" w:type="dxa"/>
            <w:shd w:val="clear" w:color="auto" w:fill="auto"/>
          </w:tcPr>
          <w:p w14:paraId="33E0CD0C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  <w:p w14:paraId="522721AC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 xml:space="preserve">Annual return, </w:t>
            </w:r>
            <w:r w:rsidRPr="006C273B">
              <w:rPr>
                <w:b/>
              </w:rPr>
              <w:t>Annex C</w:t>
            </w:r>
            <w:r w:rsidRPr="006C273B">
              <w:t>, as at 31/03/22 to be submitted to FAU. Please note Annex C is now in Excel format.</w:t>
            </w:r>
          </w:p>
          <w:p w14:paraId="424394EE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35B5594F" w14:textId="77777777" w:rsidR="006C273B" w:rsidRPr="006C273B" w:rsidRDefault="006C273B" w:rsidP="00CD5486">
            <w:pPr>
              <w:jc w:val="center"/>
            </w:pPr>
          </w:p>
          <w:p w14:paraId="0930064B" w14:textId="77777777" w:rsidR="006C273B" w:rsidRPr="006C273B" w:rsidRDefault="006C273B" w:rsidP="00CD5486">
            <w:pPr>
              <w:jc w:val="center"/>
            </w:pPr>
            <w:r w:rsidRPr="006C273B">
              <w:t>22/04/22</w:t>
            </w:r>
          </w:p>
        </w:tc>
        <w:tc>
          <w:tcPr>
            <w:tcW w:w="2337" w:type="dxa"/>
            <w:shd w:val="clear" w:color="auto" w:fill="auto"/>
          </w:tcPr>
          <w:p w14:paraId="126E0F84" w14:textId="77777777" w:rsidR="006C273B" w:rsidRPr="006C273B" w:rsidRDefault="006C273B" w:rsidP="00CD5486">
            <w:pPr>
              <w:jc w:val="center"/>
            </w:pPr>
          </w:p>
          <w:p w14:paraId="2355EB22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</w:tc>
      </w:tr>
      <w:tr w:rsidR="006C273B" w:rsidRPr="006C273B" w14:paraId="4318994A" w14:textId="77777777" w:rsidTr="00CD5486">
        <w:tc>
          <w:tcPr>
            <w:tcW w:w="5071" w:type="dxa"/>
            <w:shd w:val="clear" w:color="auto" w:fill="auto"/>
          </w:tcPr>
          <w:p w14:paraId="1B4BC40E" w14:textId="77777777" w:rsidR="006C273B" w:rsidRPr="006C273B" w:rsidRDefault="006C273B" w:rsidP="00CD5486">
            <w:pPr>
              <w:ind w:left="1080"/>
              <w:jc w:val="both"/>
            </w:pPr>
          </w:p>
          <w:p w14:paraId="44AD0AD4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Pension Services (PS) will be sent Analytical Review by FAU week commencing 09/05/2022 for completion and return by 13/05/2022</w:t>
            </w:r>
          </w:p>
          <w:p w14:paraId="3D853444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3A32F8F5" w14:textId="77777777" w:rsidR="006C273B" w:rsidRPr="006C273B" w:rsidRDefault="006C273B" w:rsidP="00CD5486">
            <w:pPr>
              <w:jc w:val="center"/>
            </w:pPr>
          </w:p>
          <w:p w14:paraId="5085AA31" w14:textId="77777777" w:rsidR="006C273B" w:rsidRPr="006C273B" w:rsidRDefault="006C273B" w:rsidP="00CD5486">
            <w:pPr>
              <w:jc w:val="center"/>
            </w:pPr>
          </w:p>
          <w:p w14:paraId="32DEF5D0" w14:textId="77777777" w:rsidR="006C273B" w:rsidRPr="006C273B" w:rsidRDefault="006C273B" w:rsidP="00CD5486">
            <w:pPr>
              <w:jc w:val="center"/>
            </w:pPr>
            <w:r w:rsidRPr="006C273B">
              <w:t>13/05/22</w:t>
            </w:r>
          </w:p>
        </w:tc>
        <w:tc>
          <w:tcPr>
            <w:tcW w:w="2337" w:type="dxa"/>
            <w:shd w:val="clear" w:color="auto" w:fill="auto"/>
          </w:tcPr>
          <w:p w14:paraId="2E890880" w14:textId="77777777" w:rsidR="006C273B" w:rsidRPr="006C273B" w:rsidRDefault="006C273B" w:rsidP="00CD5486">
            <w:pPr>
              <w:jc w:val="center"/>
            </w:pPr>
          </w:p>
          <w:p w14:paraId="5A17EB78" w14:textId="77777777" w:rsidR="006C273B" w:rsidRPr="006C273B" w:rsidRDefault="006C273B" w:rsidP="00CD5486">
            <w:pPr>
              <w:jc w:val="center"/>
            </w:pPr>
          </w:p>
          <w:p w14:paraId="62B133AF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</w:tc>
      </w:tr>
      <w:tr w:rsidR="006C273B" w:rsidRPr="006C273B" w14:paraId="00D6B17E" w14:textId="77777777" w:rsidTr="00CD5486">
        <w:tc>
          <w:tcPr>
            <w:tcW w:w="5071" w:type="dxa"/>
            <w:shd w:val="clear" w:color="auto" w:fill="auto"/>
          </w:tcPr>
          <w:p w14:paraId="21BD881F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  <w:p w14:paraId="7F1BD7BD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GAD will produce draft results report 2021/22 report for review.</w:t>
            </w:r>
          </w:p>
          <w:p w14:paraId="6A305CA0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5C5E66C7" w14:textId="77777777" w:rsidR="006C273B" w:rsidRPr="006C273B" w:rsidRDefault="006C273B" w:rsidP="00CD5486">
            <w:pPr>
              <w:jc w:val="center"/>
            </w:pPr>
          </w:p>
          <w:p w14:paraId="2C99B56A" w14:textId="77777777" w:rsidR="006C273B" w:rsidRPr="006C273B" w:rsidRDefault="006C273B" w:rsidP="00CD5486">
            <w:pPr>
              <w:jc w:val="center"/>
            </w:pPr>
            <w:r w:rsidRPr="006C273B">
              <w:t>29/04/22</w:t>
            </w:r>
          </w:p>
        </w:tc>
        <w:tc>
          <w:tcPr>
            <w:tcW w:w="2337" w:type="dxa"/>
            <w:shd w:val="clear" w:color="auto" w:fill="auto"/>
          </w:tcPr>
          <w:p w14:paraId="1FD1642C" w14:textId="77777777" w:rsidR="006C273B" w:rsidRPr="006C273B" w:rsidRDefault="006C273B" w:rsidP="00CD5486">
            <w:pPr>
              <w:jc w:val="center"/>
            </w:pPr>
          </w:p>
          <w:p w14:paraId="3EFCBC75" w14:textId="77777777" w:rsidR="006C273B" w:rsidRPr="006C273B" w:rsidRDefault="006C273B" w:rsidP="00CD5486">
            <w:pPr>
              <w:jc w:val="center"/>
            </w:pPr>
            <w:r w:rsidRPr="006C273B">
              <w:t>GAD</w:t>
            </w:r>
          </w:p>
        </w:tc>
      </w:tr>
      <w:tr w:rsidR="006C273B" w:rsidRPr="006C273B" w14:paraId="5962C0D3" w14:textId="77777777" w:rsidTr="00CD5486">
        <w:tc>
          <w:tcPr>
            <w:tcW w:w="5071" w:type="dxa"/>
            <w:shd w:val="clear" w:color="auto" w:fill="auto"/>
          </w:tcPr>
          <w:p w14:paraId="4763F235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  <w:p w14:paraId="604FC760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GAD draft report to be reviewed and feedback comments to GAD.</w:t>
            </w:r>
          </w:p>
          <w:p w14:paraId="6FA0974C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7ED92E40" w14:textId="77777777" w:rsidR="006C273B" w:rsidRPr="006C273B" w:rsidRDefault="006C273B" w:rsidP="00CD5486">
            <w:pPr>
              <w:jc w:val="center"/>
            </w:pPr>
          </w:p>
          <w:p w14:paraId="6CD03FF6" w14:textId="77777777" w:rsidR="006C273B" w:rsidRPr="006C273B" w:rsidRDefault="006C273B" w:rsidP="00CD5486">
            <w:pPr>
              <w:jc w:val="center"/>
            </w:pPr>
            <w:r w:rsidRPr="006C273B">
              <w:t>06/05/22</w:t>
            </w:r>
          </w:p>
        </w:tc>
        <w:tc>
          <w:tcPr>
            <w:tcW w:w="2337" w:type="dxa"/>
            <w:shd w:val="clear" w:color="auto" w:fill="auto"/>
          </w:tcPr>
          <w:p w14:paraId="0C32C42B" w14:textId="77777777" w:rsidR="006C273B" w:rsidRPr="006C273B" w:rsidRDefault="006C273B" w:rsidP="00CD5486">
            <w:pPr>
              <w:jc w:val="center"/>
            </w:pPr>
          </w:p>
          <w:p w14:paraId="129C6C95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  <w:p w14:paraId="15FE4422" w14:textId="77777777" w:rsidR="006C273B" w:rsidRPr="006C273B" w:rsidRDefault="006C273B" w:rsidP="00CD5486">
            <w:pPr>
              <w:jc w:val="center"/>
            </w:pPr>
            <w:r w:rsidRPr="006C273B">
              <w:t>FMU</w:t>
            </w:r>
          </w:p>
          <w:p w14:paraId="56888213" w14:textId="77777777" w:rsidR="006C273B" w:rsidRPr="006C273B" w:rsidRDefault="006C273B" w:rsidP="00CD5486">
            <w:pPr>
              <w:jc w:val="center"/>
            </w:pPr>
            <w:r w:rsidRPr="006C273B">
              <w:t>Policy</w:t>
            </w:r>
          </w:p>
          <w:p w14:paraId="4DF2F5CF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  <w:p w14:paraId="7CCCD70B" w14:textId="77777777" w:rsidR="006C273B" w:rsidRPr="006C273B" w:rsidRDefault="006C273B" w:rsidP="00CD5486">
            <w:pPr>
              <w:jc w:val="center"/>
            </w:pPr>
          </w:p>
        </w:tc>
      </w:tr>
      <w:tr w:rsidR="006C273B" w:rsidRPr="006C273B" w14:paraId="01ECBFCD" w14:textId="77777777" w:rsidTr="00CD5486">
        <w:tc>
          <w:tcPr>
            <w:tcW w:w="5071" w:type="dxa"/>
            <w:shd w:val="clear" w:color="auto" w:fill="auto"/>
          </w:tcPr>
          <w:p w14:paraId="3C8C33FF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  <w:p w14:paraId="69B39334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Report of Scheme Managers to be submitted to FAU</w:t>
            </w:r>
          </w:p>
        </w:tc>
        <w:tc>
          <w:tcPr>
            <w:tcW w:w="2509" w:type="dxa"/>
            <w:shd w:val="clear" w:color="auto" w:fill="auto"/>
          </w:tcPr>
          <w:p w14:paraId="29231C5E" w14:textId="77777777" w:rsidR="006C273B" w:rsidRPr="006C273B" w:rsidRDefault="006C273B" w:rsidP="00CD5486">
            <w:pPr>
              <w:jc w:val="center"/>
            </w:pPr>
          </w:p>
          <w:p w14:paraId="4303F9E5" w14:textId="77777777" w:rsidR="006C273B" w:rsidRPr="006C273B" w:rsidRDefault="006C273B" w:rsidP="00CD5486">
            <w:pPr>
              <w:jc w:val="center"/>
            </w:pPr>
            <w:r w:rsidRPr="006C273B">
              <w:t>06/05/22</w:t>
            </w:r>
          </w:p>
        </w:tc>
        <w:tc>
          <w:tcPr>
            <w:tcW w:w="2337" w:type="dxa"/>
            <w:shd w:val="clear" w:color="auto" w:fill="auto"/>
          </w:tcPr>
          <w:p w14:paraId="0A96A56E" w14:textId="77777777" w:rsidR="006C273B" w:rsidRPr="006C273B" w:rsidRDefault="006C273B" w:rsidP="00CD5486">
            <w:pPr>
              <w:jc w:val="center"/>
            </w:pPr>
          </w:p>
          <w:p w14:paraId="50551B44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  <w:p w14:paraId="6C03E348" w14:textId="77777777" w:rsidR="006C273B" w:rsidRPr="006C273B" w:rsidRDefault="006C273B" w:rsidP="00CD5486">
            <w:pPr>
              <w:jc w:val="center"/>
            </w:pPr>
            <w:r w:rsidRPr="006C273B">
              <w:t>Policy</w:t>
            </w:r>
          </w:p>
          <w:p w14:paraId="6C332A5A" w14:textId="77777777" w:rsidR="006C273B" w:rsidRPr="006C273B" w:rsidRDefault="006C273B" w:rsidP="00CD5486">
            <w:pPr>
              <w:jc w:val="center"/>
            </w:pPr>
          </w:p>
        </w:tc>
      </w:tr>
      <w:tr w:rsidR="006C273B" w:rsidRPr="006C273B" w14:paraId="2769D4C1" w14:textId="77777777" w:rsidTr="00CD5486">
        <w:tc>
          <w:tcPr>
            <w:tcW w:w="5071" w:type="dxa"/>
            <w:shd w:val="clear" w:color="auto" w:fill="auto"/>
          </w:tcPr>
          <w:p w14:paraId="7286CDBF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  <w:p w14:paraId="38901406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GAD report to be finalised.</w:t>
            </w:r>
          </w:p>
          <w:p w14:paraId="0A5CE97F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29767345" w14:textId="77777777" w:rsidR="006C273B" w:rsidRPr="006C273B" w:rsidRDefault="006C273B" w:rsidP="00CD5486">
            <w:pPr>
              <w:jc w:val="center"/>
            </w:pPr>
          </w:p>
          <w:p w14:paraId="4030F881" w14:textId="77777777" w:rsidR="006C273B" w:rsidRPr="006C273B" w:rsidRDefault="006C273B" w:rsidP="00CD5486">
            <w:pPr>
              <w:jc w:val="center"/>
            </w:pPr>
            <w:r w:rsidRPr="006C273B">
              <w:t>20/05/22</w:t>
            </w:r>
          </w:p>
        </w:tc>
        <w:tc>
          <w:tcPr>
            <w:tcW w:w="2337" w:type="dxa"/>
            <w:shd w:val="clear" w:color="auto" w:fill="auto"/>
          </w:tcPr>
          <w:p w14:paraId="31BA4FEB" w14:textId="77777777" w:rsidR="006C273B" w:rsidRPr="006C273B" w:rsidRDefault="006C273B" w:rsidP="00CD5486">
            <w:pPr>
              <w:jc w:val="center"/>
            </w:pPr>
          </w:p>
          <w:p w14:paraId="5398C928" w14:textId="77777777" w:rsidR="006C273B" w:rsidRPr="006C273B" w:rsidRDefault="006C273B" w:rsidP="00CD5486">
            <w:pPr>
              <w:jc w:val="center"/>
            </w:pPr>
            <w:r w:rsidRPr="006C273B">
              <w:t>GAD</w:t>
            </w:r>
          </w:p>
        </w:tc>
      </w:tr>
      <w:tr w:rsidR="006C273B" w:rsidRPr="006C273B" w14:paraId="1653C1CB" w14:textId="77777777" w:rsidTr="00CD5486">
        <w:tc>
          <w:tcPr>
            <w:tcW w:w="5071" w:type="dxa"/>
            <w:shd w:val="clear" w:color="auto" w:fill="auto"/>
          </w:tcPr>
          <w:p w14:paraId="2213C60F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  <w:p w14:paraId="6BA1EE09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AVC reports to be obtained and submitted to FAU.</w:t>
            </w:r>
          </w:p>
          <w:p w14:paraId="3E35BF23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2EF282E6" w14:textId="77777777" w:rsidR="006C273B" w:rsidRPr="006C273B" w:rsidRDefault="006C273B" w:rsidP="00CD5486">
            <w:pPr>
              <w:jc w:val="center"/>
            </w:pPr>
          </w:p>
          <w:p w14:paraId="28947B96" w14:textId="77777777" w:rsidR="006C273B" w:rsidRPr="006C273B" w:rsidRDefault="006C273B" w:rsidP="00CD5486">
            <w:pPr>
              <w:jc w:val="center"/>
            </w:pPr>
            <w:r w:rsidRPr="006C273B">
              <w:t>20/05/22</w:t>
            </w:r>
          </w:p>
        </w:tc>
        <w:tc>
          <w:tcPr>
            <w:tcW w:w="2337" w:type="dxa"/>
            <w:shd w:val="clear" w:color="auto" w:fill="auto"/>
          </w:tcPr>
          <w:p w14:paraId="6355EEA6" w14:textId="77777777" w:rsidR="006C273B" w:rsidRPr="006C273B" w:rsidRDefault="006C273B" w:rsidP="00CD5486">
            <w:pPr>
              <w:jc w:val="center"/>
            </w:pPr>
          </w:p>
          <w:p w14:paraId="72B1493E" w14:textId="77777777" w:rsidR="006C273B" w:rsidRPr="006C273B" w:rsidRDefault="006C273B" w:rsidP="00CD5486">
            <w:pPr>
              <w:jc w:val="center"/>
            </w:pPr>
            <w:r w:rsidRPr="006C273B">
              <w:t>PS</w:t>
            </w:r>
          </w:p>
        </w:tc>
      </w:tr>
      <w:tr w:rsidR="006C273B" w:rsidRPr="006C273B" w14:paraId="05400F02" w14:textId="77777777" w:rsidTr="00CD5486">
        <w:tc>
          <w:tcPr>
            <w:tcW w:w="5071" w:type="dxa"/>
            <w:shd w:val="clear" w:color="auto" w:fill="auto"/>
          </w:tcPr>
          <w:p w14:paraId="263E3C60" w14:textId="77777777" w:rsidR="006C273B" w:rsidRPr="006C273B" w:rsidRDefault="006C273B" w:rsidP="00CD5486">
            <w:pPr>
              <w:ind w:left="720"/>
              <w:jc w:val="both"/>
            </w:pPr>
          </w:p>
          <w:p w14:paraId="3C9EE81F" w14:textId="77777777" w:rsidR="006C273B" w:rsidRPr="006C273B" w:rsidRDefault="006C273B" w:rsidP="006C273B">
            <w:pPr>
              <w:pStyle w:val="ListParagraph"/>
              <w:numPr>
                <w:ilvl w:val="0"/>
                <w:numId w:val="7"/>
              </w:numPr>
              <w:ind w:left="454" w:hanging="283"/>
              <w:contextualSpacing/>
              <w:jc w:val="both"/>
            </w:pPr>
            <w:r w:rsidRPr="006C273B">
              <w:t>Production and submission of draft HSCPS Resource Accounts for audit</w:t>
            </w:r>
          </w:p>
          <w:p w14:paraId="373BBE69" w14:textId="77777777" w:rsidR="006C273B" w:rsidRPr="006C273B" w:rsidRDefault="006C273B" w:rsidP="00CD5486">
            <w:pPr>
              <w:pStyle w:val="ListParagraph"/>
              <w:ind w:left="454"/>
              <w:jc w:val="both"/>
            </w:pPr>
          </w:p>
        </w:tc>
        <w:tc>
          <w:tcPr>
            <w:tcW w:w="2509" w:type="dxa"/>
            <w:shd w:val="clear" w:color="auto" w:fill="auto"/>
          </w:tcPr>
          <w:p w14:paraId="0A04911F" w14:textId="77777777" w:rsidR="006C273B" w:rsidRPr="006C273B" w:rsidRDefault="006C273B" w:rsidP="00CD5486">
            <w:pPr>
              <w:jc w:val="center"/>
            </w:pPr>
          </w:p>
          <w:p w14:paraId="6C4016F8" w14:textId="77777777" w:rsidR="006C273B" w:rsidRPr="006C273B" w:rsidRDefault="006C273B" w:rsidP="00CD5486">
            <w:pPr>
              <w:jc w:val="center"/>
            </w:pPr>
            <w:r w:rsidRPr="006C273B">
              <w:t>30/05/22</w:t>
            </w:r>
          </w:p>
        </w:tc>
        <w:tc>
          <w:tcPr>
            <w:tcW w:w="2337" w:type="dxa"/>
            <w:shd w:val="clear" w:color="auto" w:fill="auto"/>
          </w:tcPr>
          <w:p w14:paraId="71BE1796" w14:textId="77777777" w:rsidR="006C273B" w:rsidRPr="006C273B" w:rsidRDefault="006C273B" w:rsidP="00CD5486">
            <w:pPr>
              <w:jc w:val="center"/>
            </w:pPr>
          </w:p>
          <w:p w14:paraId="249BBA1F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</w:tbl>
    <w:p w14:paraId="76749759" w14:textId="77777777" w:rsidR="006C273B" w:rsidRPr="006C273B" w:rsidRDefault="006C273B" w:rsidP="009C3062">
      <w:pPr>
        <w:rPr>
          <w:b/>
        </w:rPr>
      </w:pPr>
    </w:p>
    <w:p w14:paraId="172C2C98" w14:textId="77777777" w:rsidR="006C273B" w:rsidRDefault="006C273B" w:rsidP="009C3062">
      <w:pPr>
        <w:rPr>
          <w:b/>
        </w:rPr>
      </w:pPr>
    </w:p>
    <w:p w14:paraId="6139AF54" w14:textId="77777777" w:rsidR="006C273B" w:rsidRDefault="006C273B" w:rsidP="009C3062">
      <w:pPr>
        <w:rPr>
          <w:b/>
        </w:rPr>
      </w:pPr>
    </w:p>
    <w:p w14:paraId="3AF0A3A4" w14:textId="77777777" w:rsidR="006C273B" w:rsidRDefault="006C273B" w:rsidP="009C3062">
      <w:pPr>
        <w:rPr>
          <w:b/>
        </w:rPr>
      </w:pPr>
    </w:p>
    <w:p w14:paraId="105E833D" w14:textId="77777777" w:rsidR="006C273B" w:rsidRDefault="006C273B" w:rsidP="009C3062">
      <w:pPr>
        <w:rPr>
          <w:b/>
        </w:rPr>
      </w:pPr>
    </w:p>
    <w:p w14:paraId="0EECE940" w14:textId="77777777" w:rsidR="006C273B" w:rsidRDefault="006C273B" w:rsidP="009C3062">
      <w:pPr>
        <w:rPr>
          <w:b/>
        </w:rPr>
      </w:pPr>
    </w:p>
    <w:p w14:paraId="3A1CEF09" w14:textId="77777777" w:rsidR="006C273B" w:rsidRDefault="006C273B" w:rsidP="009C3062">
      <w:pPr>
        <w:rPr>
          <w:b/>
        </w:rPr>
      </w:pPr>
    </w:p>
    <w:p w14:paraId="55589B7C" w14:textId="77777777" w:rsidR="006C273B" w:rsidRDefault="006C273B" w:rsidP="009C3062">
      <w:pPr>
        <w:rPr>
          <w:b/>
        </w:rPr>
      </w:pPr>
    </w:p>
    <w:p w14:paraId="35416FDC" w14:textId="77777777" w:rsidR="006C273B" w:rsidRDefault="006C273B" w:rsidP="009C3062">
      <w:pPr>
        <w:rPr>
          <w:b/>
        </w:rPr>
      </w:pPr>
    </w:p>
    <w:p w14:paraId="37E6017D" w14:textId="77777777" w:rsidR="006C273B" w:rsidRDefault="006C273B" w:rsidP="009C3062">
      <w:pPr>
        <w:rPr>
          <w:b/>
        </w:rPr>
      </w:pPr>
    </w:p>
    <w:p w14:paraId="49C02EAF" w14:textId="77777777" w:rsidR="006C273B" w:rsidRDefault="006C273B" w:rsidP="009C3062">
      <w:pPr>
        <w:rPr>
          <w:b/>
        </w:rPr>
      </w:pPr>
    </w:p>
    <w:p w14:paraId="4B22D529" w14:textId="77777777" w:rsidR="006C273B" w:rsidRPr="006C273B" w:rsidRDefault="006C273B" w:rsidP="006C273B">
      <w:pPr>
        <w:jc w:val="both"/>
        <w:rPr>
          <w:b/>
        </w:rPr>
      </w:pPr>
      <w:r w:rsidRPr="006C273B">
        <w:rPr>
          <w:b/>
        </w:rPr>
        <w:lastRenderedPageBreak/>
        <w:t xml:space="preserve">Audit and Final Certification </w:t>
      </w:r>
      <w:r w:rsidRPr="006C273B">
        <w:rPr>
          <w:i/>
        </w:rPr>
        <w:t xml:space="preserve">Note-Summer recess </w:t>
      </w:r>
      <w:r w:rsidRPr="006C273B">
        <w:rPr>
          <w:i/>
          <w:highlight w:val="yellow"/>
        </w:rPr>
        <w:t>1</w:t>
      </w:r>
      <w:r w:rsidRPr="006C273B">
        <w:rPr>
          <w:i/>
          <w:highlight w:val="yellow"/>
          <w:vertAlign w:val="superscript"/>
        </w:rPr>
        <w:t>st</w:t>
      </w:r>
      <w:r w:rsidRPr="006C273B">
        <w:rPr>
          <w:i/>
          <w:highlight w:val="yellow"/>
        </w:rPr>
        <w:t xml:space="preserve"> July TBC</w:t>
      </w:r>
    </w:p>
    <w:p w14:paraId="125851BA" w14:textId="77777777" w:rsidR="006C273B" w:rsidRPr="006C273B" w:rsidRDefault="006C273B" w:rsidP="006C273B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269"/>
        <w:gridCol w:w="2079"/>
      </w:tblGrid>
      <w:tr w:rsidR="006C273B" w:rsidRPr="006C273B" w14:paraId="68C0C4B8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6143F927" w14:textId="77777777" w:rsidR="006C273B" w:rsidRPr="006C273B" w:rsidRDefault="006C273B" w:rsidP="00CD5486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07BA29EF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0BE7645C" w14:textId="77777777" w:rsidR="006C273B" w:rsidRPr="006C273B" w:rsidRDefault="006C273B" w:rsidP="00CD5486">
            <w:pPr>
              <w:jc w:val="center"/>
              <w:rPr>
                <w:b/>
              </w:rPr>
            </w:pPr>
            <w:r w:rsidRPr="006C273B">
              <w:rPr>
                <w:b/>
              </w:rPr>
              <w:t>Deadline</w:t>
            </w:r>
          </w:p>
        </w:tc>
        <w:tc>
          <w:tcPr>
            <w:tcW w:w="2321" w:type="dxa"/>
            <w:shd w:val="clear" w:color="auto" w:fill="auto"/>
          </w:tcPr>
          <w:p w14:paraId="4701C92E" w14:textId="77777777" w:rsidR="006C273B" w:rsidRPr="006C273B" w:rsidRDefault="006C273B" w:rsidP="00CD5486">
            <w:pPr>
              <w:jc w:val="center"/>
              <w:rPr>
                <w:b/>
              </w:rPr>
            </w:pPr>
          </w:p>
          <w:p w14:paraId="2A8FC68C" w14:textId="77777777" w:rsidR="006C273B" w:rsidRPr="006C273B" w:rsidRDefault="006C273B" w:rsidP="00CD5486">
            <w:pPr>
              <w:jc w:val="center"/>
              <w:rPr>
                <w:b/>
              </w:rPr>
            </w:pPr>
            <w:r w:rsidRPr="006C273B">
              <w:rPr>
                <w:b/>
              </w:rPr>
              <w:t>Action by</w:t>
            </w:r>
          </w:p>
        </w:tc>
      </w:tr>
      <w:tr w:rsidR="006C273B" w:rsidRPr="006C273B" w14:paraId="5CFCA003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4647BB35" w14:textId="77777777" w:rsidR="006C273B" w:rsidRPr="006C273B" w:rsidRDefault="006C273B" w:rsidP="00CD5486">
            <w:pPr>
              <w:ind w:left="454"/>
              <w:jc w:val="both"/>
            </w:pPr>
          </w:p>
          <w:p w14:paraId="48E5BD77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Interim audit testing commences. Date provided by NIAO.</w:t>
            </w:r>
          </w:p>
          <w:p w14:paraId="30A25692" w14:textId="77777777" w:rsidR="006C273B" w:rsidRPr="006C273B" w:rsidRDefault="006C273B" w:rsidP="00CD5486">
            <w:pPr>
              <w:ind w:left="454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5EDFFECC" w14:textId="77777777" w:rsidR="006C273B" w:rsidRPr="006C273B" w:rsidRDefault="006C273B" w:rsidP="00CD5486">
            <w:pPr>
              <w:spacing w:line="276" w:lineRule="auto"/>
              <w:jc w:val="center"/>
            </w:pPr>
          </w:p>
          <w:p w14:paraId="523EB731" w14:textId="77777777" w:rsidR="006C273B" w:rsidRPr="006C273B" w:rsidRDefault="006C273B" w:rsidP="00CD5486">
            <w:pPr>
              <w:jc w:val="center"/>
            </w:pPr>
            <w:r w:rsidRPr="006C273B">
              <w:t>11/04/22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B06BFE5" w14:textId="77777777" w:rsidR="006C273B" w:rsidRPr="006C273B" w:rsidRDefault="006C273B" w:rsidP="00CD5486">
            <w:pPr>
              <w:spacing w:line="276" w:lineRule="auto"/>
              <w:jc w:val="center"/>
            </w:pPr>
            <w:r w:rsidRPr="006C273B">
              <w:t>All</w:t>
            </w:r>
          </w:p>
        </w:tc>
      </w:tr>
      <w:tr w:rsidR="006C273B" w:rsidRPr="006C273B" w14:paraId="0374D380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62937B8A" w14:textId="77777777" w:rsidR="006C273B" w:rsidRPr="006C273B" w:rsidRDefault="006C273B" w:rsidP="00CD5486">
            <w:pPr>
              <w:ind w:left="454"/>
              <w:jc w:val="both"/>
            </w:pPr>
          </w:p>
          <w:p w14:paraId="4EF73EEA" w14:textId="77777777" w:rsidR="006C273B" w:rsidRPr="006C273B" w:rsidRDefault="006C273B" w:rsidP="006C273B">
            <w:pPr>
              <w:pStyle w:val="ListParagraph"/>
              <w:numPr>
                <w:ilvl w:val="0"/>
                <w:numId w:val="11"/>
              </w:numPr>
              <w:ind w:left="454" w:hanging="425"/>
              <w:contextualSpacing/>
              <w:jc w:val="both"/>
            </w:pPr>
            <w:r w:rsidRPr="006C273B">
              <w:t xml:space="preserve">Final Audit testing commences. </w:t>
            </w:r>
          </w:p>
          <w:p w14:paraId="7E35726B" w14:textId="77777777" w:rsidR="006C273B" w:rsidRPr="006C273B" w:rsidRDefault="006C273B" w:rsidP="00CD5486">
            <w:pPr>
              <w:ind w:left="29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637363C9" w14:textId="77777777" w:rsidR="006C273B" w:rsidRPr="006C273B" w:rsidRDefault="006C273B" w:rsidP="00CD5486">
            <w:pPr>
              <w:jc w:val="center"/>
            </w:pPr>
          </w:p>
          <w:p w14:paraId="5CC80C08" w14:textId="77777777" w:rsidR="006C273B" w:rsidRPr="006C273B" w:rsidRDefault="006C273B" w:rsidP="00CD5486">
            <w:pPr>
              <w:jc w:val="center"/>
            </w:pPr>
            <w:r w:rsidRPr="006C273B">
              <w:t>23/05/22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1826BF9" w14:textId="77777777" w:rsidR="006C273B" w:rsidRPr="006C273B" w:rsidRDefault="006C273B" w:rsidP="00CD5486">
            <w:pPr>
              <w:jc w:val="center"/>
            </w:pPr>
            <w:r w:rsidRPr="006C273B">
              <w:t>All</w:t>
            </w:r>
          </w:p>
        </w:tc>
      </w:tr>
      <w:tr w:rsidR="006C273B" w:rsidRPr="006C273B" w14:paraId="3B3CF56B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33E29724" w14:textId="77777777" w:rsidR="006C273B" w:rsidRPr="006C273B" w:rsidRDefault="006C273B" w:rsidP="00CD5486">
            <w:pPr>
              <w:ind w:left="454"/>
              <w:jc w:val="both"/>
            </w:pPr>
          </w:p>
          <w:p w14:paraId="16CD038D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Draft financial statements provided to NIAO.</w:t>
            </w:r>
          </w:p>
          <w:p w14:paraId="520DE6A4" w14:textId="77777777" w:rsidR="006C273B" w:rsidRPr="006C273B" w:rsidRDefault="006C273B" w:rsidP="00CD5486">
            <w:pPr>
              <w:ind w:left="454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7A55FC6D" w14:textId="77777777" w:rsidR="006C273B" w:rsidRPr="006C273B" w:rsidRDefault="006C273B" w:rsidP="00CD5486">
            <w:pPr>
              <w:jc w:val="center"/>
            </w:pPr>
          </w:p>
          <w:p w14:paraId="4FC1D7D5" w14:textId="77777777" w:rsidR="006C273B" w:rsidRPr="006C273B" w:rsidRDefault="006C273B" w:rsidP="00CD5486">
            <w:pPr>
              <w:jc w:val="center"/>
            </w:pPr>
            <w:r w:rsidRPr="006C273B">
              <w:t>31/05/22</w:t>
            </w:r>
          </w:p>
        </w:tc>
        <w:tc>
          <w:tcPr>
            <w:tcW w:w="2321" w:type="dxa"/>
            <w:shd w:val="clear" w:color="auto" w:fill="auto"/>
          </w:tcPr>
          <w:p w14:paraId="5A81F87E" w14:textId="77777777" w:rsidR="006C273B" w:rsidRPr="006C273B" w:rsidRDefault="006C273B" w:rsidP="00CD5486">
            <w:pPr>
              <w:jc w:val="center"/>
            </w:pPr>
          </w:p>
          <w:p w14:paraId="4726EC1D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  <w:tr w:rsidR="006C273B" w:rsidRPr="006C273B" w14:paraId="09FCEFBF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2C9FDE64" w14:textId="77777777" w:rsidR="006C273B" w:rsidRPr="006C273B" w:rsidRDefault="006C273B" w:rsidP="00CD5486">
            <w:pPr>
              <w:ind w:left="454"/>
              <w:jc w:val="both"/>
            </w:pPr>
          </w:p>
          <w:p w14:paraId="0C2377FA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Draft annual report provided to NIAO.</w:t>
            </w:r>
          </w:p>
          <w:p w14:paraId="47BE5689" w14:textId="77777777" w:rsidR="006C273B" w:rsidRPr="006C273B" w:rsidRDefault="006C273B" w:rsidP="00CD5486">
            <w:pPr>
              <w:ind w:left="454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6C0A9FC2" w14:textId="77777777" w:rsidR="006C273B" w:rsidRPr="006C273B" w:rsidRDefault="006C273B" w:rsidP="00CD5486">
            <w:pPr>
              <w:jc w:val="center"/>
            </w:pPr>
          </w:p>
          <w:p w14:paraId="6E9FB515" w14:textId="77777777" w:rsidR="006C273B" w:rsidRPr="006C273B" w:rsidRDefault="006C273B" w:rsidP="00CD5486">
            <w:r w:rsidRPr="006C273B">
              <w:t xml:space="preserve">           06/06/22</w:t>
            </w:r>
          </w:p>
        </w:tc>
        <w:tc>
          <w:tcPr>
            <w:tcW w:w="2321" w:type="dxa"/>
            <w:shd w:val="clear" w:color="auto" w:fill="auto"/>
          </w:tcPr>
          <w:p w14:paraId="7FF2DE23" w14:textId="77777777" w:rsidR="006C273B" w:rsidRPr="006C273B" w:rsidRDefault="006C273B" w:rsidP="00CD5486">
            <w:pPr>
              <w:jc w:val="center"/>
            </w:pPr>
          </w:p>
          <w:p w14:paraId="2340DA21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  <w:tr w:rsidR="006C273B" w:rsidRPr="006C273B" w14:paraId="12852582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47861800" w14:textId="77777777" w:rsidR="006C273B" w:rsidRPr="006C273B" w:rsidRDefault="006C273B" w:rsidP="00CD5486">
            <w:pPr>
              <w:ind w:left="454"/>
              <w:jc w:val="both"/>
            </w:pPr>
          </w:p>
          <w:p w14:paraId="7E5398E1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Provisional report to those charged with governance (RTTCWG) issued for management response.</w:t>
            </w:r>
          </w:p>
          <w:p w14:paraId="681CEA9E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3861AB68" w14:textId="77777777" w:rsidR="006C273B" w:rsidRPr="006C273B" w:rsidRDefault="006C273B" w:rsidP="00CD5486">
            <w:pPr>
              <w:jc w:val="center"/>
            </w:pPr>
          </w:p>
          <w:p w14:paraId="15F97FDD" w14:textId="77777777" w:rsidR="006C273B" w:rsidRPr="006C273B" w:rsidRDefault="006C273B" w:rsidP="00CD5486">
            <w:pPr>
              <w:jc w:val="center"/>
            </w:pPr>
          </w:p>
          <w:p w14:paraId="1FAAF4EA" w14:textId="77777777" w:rsidR="006C273B" w:rsidRPr="006C273B" w:rsidRDefault="006C273B" w:rsidP="00CD5486">
            <w:pPr>
              <w:jc w:val="center"/>
            </w:pPr>
            <w:r w:rsidRPr="006C273B">
              <w:t>13/06/22</w:t>
            </w:r>
          </w:p>
        </w:tc>
        <w:tc>
          <w:tcPr>
            <w:tcW w:w="2321" w:type="dxa"/>
            <w:shd w:val="clear" w:color="auto" w:fill="auto"/>
          </w:tcPr>
          <w:p w14:paraId="7C826E40" w14:textId="77777777" w:rsidR="006C273B" w:rsidRPr="006C273B" w:rsidRDefault="006C273B" w:rsidP="00CD5486">
            <w:pPr>
              <w:jc w:val="center"/>
            </w:pPr>
          </w:p>
          <w:p w14:paraId="32CC84C3" w14:textId="77777777" w:rsidR="006C273B" w:rsidRPr="006C273B" w:rsidRDefault="006C273B" w:rsidP="00CD5486">
            <w:pPr>
              <w:jc w:val="center"/>
            </w:pPr>
          </w:p>
          <w:p w14:paraId="6B0DFBE3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  <w:tr w:rsidR="006C273B" w:rsidRPr="006C273B" w14:paraId="3C6AFCC5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18FCB163" w14:textId="77777777" w:rsidR="006C273B" w:rsidRPr="006C273B" w:rsidRDefault="006C273B" w:rsidP="00CD5486">
            <w:pPr>
              <w:ind w:left="454"/>
              <w:jc w:val="both"/>
            </w:pPr>
          </w:p>
          <w:p w14:paraId="312DEF8B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NIAO clearance on draft financial statements.</w:t>
            </w:r>
          </w:p>
          <w:p w14:paraId="4A4B7366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4B96E9F8" w14:textId="77777777" w:rsidR="006C273B" w:rsidRPr="006C273B" w:rsidRDefault="006C273B" w:rsidP="00CD5486">
            <w:pPr>
              <w:jc w:val="center"/>
            </w:pPr>
          </w:p>
          <w:p w14:paraId="779AA7BB" w14:textId="77777777" w:rsidR="006C273B" w:rsidRPr="006C273B" w:rsidRDefault="006C273B" w:rsidP="00CD5486">
            <w:pPr>
              <w:jc w:val="center"/>
            </w:pPr>
            <w:r w:rsidRPr="006C273B">
              <w:t>13/06/22</w:t>
            </w:r>
          </w:p>
        </w:tc>
        <w:tc>
          <w:tcPr>
            <w:tcW w:w="2321" w:type="dxa"/>
            <w:shd w:val="clear" w:color="auto" w:fill="auto"/>
          </w:tcPr>
          <w:p w14:paraId="0321AC92" w14:textId="77777777" w:rsidR="006C273B" w:rsidRPr="006C273B" w:rsidRDefault="006C273B" w:rsidP="00CD5486">
            <w:pPr>
              <w:jc w:val="center"/>
            </w:pPr>
          </w:p>
          <w:p w14:paraId="3DE6056D" w14:textId="77777777" w:rsidR="006C273B" w:rsidRPr="006C273B" w:rsidRDefault="006C273B" w:rsidP="00CD5486">
            <w:pPr>
              <w:jc w:val="center"/>
            </w:pPr>
            <w:r w:rsidRPr="006C273B">
              <w:t>NIAO</w:t>
            </w:r>
          </w:p>
        </w:tc>
      </w:tr>
      <w:tr w:rsidR="006C273B" w:rsidRPr="006C273B" w14:paraId="7D559AF4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6F6FD7B2" w14:textId="77777777" w:rsidR="006C273B" w:rsidRPr="006C273B" w:rsidRDefault="006C273B" w:rsidP="00CD5486">
            <w:pPr>
              <w:ind w:left="720"/>
              <w:jc w:val="both"/>
            </w:pPr>
          </w:p>
          <w:p w14:paraId="30B2C878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Final statements approved by DARAC.</w:t>
            </w:r>
          </w:p>
          <w:p w14:paraId="55C1605C" w14:textId="77777777" w:rsidR="006C273B" w:rsidRPr="006C273B" w:rsidRDefault="006C273B" w:rsidP="00CD5486">
            <w:pPr>
              <w:ind w:left="720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769A8F2C" w14:textId="77777777" w:rsidR="006C273B" w:rsidRPr="006C273B" w:rsidRDefault="006C273B" w:rsidP="00CD5486">
            <w:pPr>
              <w:jc w:val="center"/>
            </w:pPr>
          </w:p>
          <w:p w14:paraId="22737E73" w14:textId="77777777" w:rsidR="006C273B" w:rsidRPr="006C273B" w:rsidRDefault="006C273B" w:rsidP="00CD5486">
            <w:pPr>
              <w:jc w:val="center"/>
            </w:pPr>
            <w:r w:rsidRPr="006C273B">
              <w:t>14/06/22</w:t>
            </w:r>
          </w:p>
        </w:tc>
        <w:tc>
          <w:tcPr>
            <w:tcW w:w="2321" w:type="dxa"/>
            <w:shd w:val="clear" w:color="auto" w:fill="auto"/>
          </w:tcPr>
          <w:p w14:paraId="43C6D82B" w14:textId="77777777" w:rsidR="006C273B" w:rsidRPr="006C273B" w:rsidRDefault="006C273B" w:rsidP="00CD5486">
            <w:pPr>
              <w:jc w:val="center"/>
            </w:pPr>
          </w:p>
          <w:p w14:paraId="3E5FD405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  <w:tr w:rsidR="006C273B" w:rsidRPr="006C273B" w14:paraId="1C3FF234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58268C5C" w14:textId="77777777" w:rsidR="006C273B" w:rsidRPr="006C273B" w:rsidRDefault="006C273B" w:rsidP="00CD5486">
            <w:pPr>
              <w:ind w:left="454"/>
              <w:jc w:val="both"/>
            </w:pPr>
          </w:p>
          <w:p w14:paraId="59E379DD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 xml:space="preserve">Financial statements and letter of representation to be signed by Accounting Officer </w:t>
            </w:r>
          </w:p>
          <w:p w14:paraId="06C70854" w14:textId="77777777" w:rsidR="006C273B" w:rsidRPr="006C273B" w:rsidRDefault="006C273B" w:rsidP="00CD5486">
            <w:pPr>
              <w:ind w:left="454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1C97275B" w14:textId="77777777" w:rsidR="006C273B" w:rsidRPr="006C273B" w:rsidRDefault="006C273B" w:rsidP="00CD5486">
            <w:pPr>
              <w:jc w:val="center"/>
            </w:pPr>
          </w:p>
          <w:p w14:paraId="6DCD814F" w14:textId="77777777" w:rsidR="006C273B" w:rsidRPr="006C273B" w:rsidRDefault="006C273B" w:rsidP="00CD5486">
            <w:pPr>
              <w:jc w:val="center"/>
            </w:pPr>
            <w:r w:rsidRPr="006C273B">
              <w:t xml:space="preserve">14/06/22 </w:t>
            </w:r>
          </w:p>
        </w:tc>
        <w:tc>
          <w:tcPr>
            <w:tcW w:w="2321" w:type="dxa"/>
            <w:shd w:val="clear" w:color="auto" w:fill="auto"/>
          </w:tcPr>
          <w:p w14:paraId="7FE696D3" w14:textId="77777777" w:rsidR="006C273B" w:rsidRPr="006C273B" w:rsidRDefault="006C273B" w:rsidP="00CD5486">
            <w:pPr>
              <w:jc w:val="center"/>
            </w:pPr>
          </w:p>
          <w:p w14:paraId="4C3528D8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  <w:p w14:paraId="2E6CBA9D" w14:textId="77777777" w:rsidR="006C273B" w:rsidRPr="006C273B" w:rsidRDefault="006C273B" w:rsidP="00CD5486">
            <w:pPr>
              <w:jc w:val="center"/>
            </w:pPr>
          </w:p>
        </w:tc>
      </w:tr>
      <w:tr w:rsidR="006C273B" w:rsidRPr="006C273B" w14:paraId="75719F15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5C3B6E36" w14:textId="77777777" w:rsidR="006C273B" w:rsidRPr="006C273B" w:rsidRDefault="006C273B" w:rsidP="00CD5486">
            <w:pPr>
              <w:ind w:left="454"/>
              <w:jc w:val="both"/>
            </w:pPr>
          </w:p>
          <w:p w14:paraId="6EFFE5BB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Signed financial statements and letter of representation provided to C&amp;AG</w:t>
            </w:r>
          </w:p>
          <w:p w14:paraId="6A1D2826" w14:textId="77777777" w:rsidR="006C273B" w:rsidRPr="006C273B" w:rsidRDefault="006C273B" w:rsidP="00CD5486">
            <w:pPr>
              <w:ind w:left="454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7B9A2553" w14:textId="77777777" w:rsidR="006C273B" w:rsidRPr="006C273B" w:rsidRDefault="006C273B" w:rsidP="00CD5486">
            <w:pPr>
              <w:jc w:val="center"/>
            </w:pPr>
          </w:p>
          <w:p w14:paraId="6396D417" w14:textId="77777777" w:rsidR="006C273B" w:rsidRPr="006C273B" w:rsidRDefault="006C273B" w:rsidP="00CD5486">
            <w:pPr>
              <w:jc w:val="center"/>
            </w:pPr>
            <w:r w:rsidRPr="006C273B">
              <w:t>22/06/22</w:t>
            </w:r>
          </w:p>
          <w:p w14:paraId="2C5368C6" w14:textId="77777777" w:rsidR="006C273B" w:rsidRPr="006C273B" w:rsidRDefault="006C273B" w:rsidP="00CD5486">
            <w:pPr>
              <w:jc w:val="center"/>
            </w:pPr>
          </w:p>
        </w:tc>
        <w:tc>
          <w:tcPr>
            <w:tcW w:w="2321" w:type="dxa"/>
            <w:shd w:val="clear" w:color="auto" w:fill="auto"/>
          </w:tcPr>
          <w:p w14:paraId="16E7356B" w14:textId="77777777" w:rsidR="006C273B" w:rsidRPr="006C273B" w:rsidRDefault="006C273B" w:rsidP="00CD5486">
            <w:pPr>
              <w:jc w:val="center"/>
            </w:pPr>
          </w:p>
          <w:p w14:paraId="3EF91A45" w14:textId="77777777" w:rsidR="006C273B" w:rsidRPr="006C273B" w:rsidRDefault="006C273B" w:rsidP="00CD5486">
            <w:pPr>
              <w:jc w:val="center"/>
            </w:pPr>
            <w:r w:rsidRPr="006C273B">
              <w:t>FAU</w:t>
            </w:r>
          </w:p>
        </w:tc>
      </w:tr>
      <w:tr w:rsidR="006C273B" w:rsidRPr="006C273B" w14:paraId="0730F0F3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22F0D68D" w14:textId="77777777" w:rsidR="006C273B" w:rsidRPr="006C273B" w:rsidRDefault="006C273B" w:rsidP="00CD5486">
            <w:pPr>
              <w:jc w:val="both"/>
            </w:pPr>
          </w:p>
          <w:p w14:paraId="0C63A4AF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Financial statements certified by C&amp;AG</w:t>
            </w:r>
          </w:p>
          <w:p w14:paraId="65B18FA9" w14:textId="77777777" w:rsidR="006C273B" w:rsidRPr="006C273B" w:rsidRDefault="006C273B" w:rsidP="00CD5486">
            <w:pPr>
              <w:ind w:left="454"/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67E1282D" w14:textId="77777777" w:rsidR="006C273B" w:rsidRPr="006C273B" w:rsidRDefault="006C273B" w:rsidP="00CD5486">
            <w:pPr>
              <w:jc w:val="center"/>
            </w:pPr>
          </w:p>
          <w:p w14:paraId="43CF21C3" w14:textId="77777777" w:rsidR="006C273B" w:rsidRPr="006C273B" w:rsidRDefault="006C273B" w:rsidP="00CD5486">
            <w:pPr>
              <w:jc w:val="center"/>
            </w:pPr>
            <w:r w:rsidRPr="006C273B">
              <w:t>30/06/22</w:t>
            </w:r>
          </w:p>
        </w:tc>
        <w:tc>
          <w:tcPr>
            <w:tcW w:w="2321" w:type="dxa"/>
            <w:shd w:val="clear" w:color="auto" w:fill="auto"/>
          </w:tcPr>
          <w:p w14:paraId="7C4F0064" w14:textId="77777777" w:rsidR="006C273B" w:rsidRPr="006C273B" w:rsidRDefault="006C273B" w:rsidP="00CD5486">
            <w:pPr>
              <w:jc w:val="center"/>
            </w:pPr>
          </w:p>
          <w:p w14:paraId="7DCEF243" w14:textId="77777777" w:rsidR="006C273B" w:rsidRPr="006C273B" w:rsidRDefault="006C273B" w:rsidP="00CD5486">
            <w:pPr>
              <w:jc w:val="center"/>
            </w:pPr>
            <w:r w:rsidRPr="006C273B">
              <w:t>NIAO</w:t>
            </w:r>
          </w:p>
        </w:tc>
      </w:tr>
      <w:tr w:rsidR="006C273B" w:rsidRPr="006C273B" w14:paraId="65EDF448" w14:textId="77777777" w:rsidTr="00CD5486">
        <w:trPr>
          <w:jc w:val="center"/>
        </w:trPr>
        <w:tc>
          <w:tcPr>
            <w:tcW w:w="5092" w:type="dxa"/>
            <w:shd w:val="clear" w:color="auto" w:fill="auto"/>
          </w:tcPr>
          <w:p w14:paraId="7B985072" w14:textId="77777777" w:rsidR="006C273B" w:rsidRPr="006C273B" w:rsidRDefault="006C273B" w:rsidP="00CD5486">
            <w:pPr>
              <w:jc w:val="both"/>
            </w:pPr>
          </w:p>
          <w:p w14:paraId="1D533222" w14:textId="77777777" w:rsidR="006C273B" w:rsidRPr="006C273B" w:rsidRDefault="006C273B" w:rsidP="006C273B">
            <w:pPr>
              <w:numPr>
                <w:ilvl w:val="0"/>
                <w:numId w:val="11"/>
              </w:numPr>
              <w:ind w:left="454" w:hanging="425"/>
              <w:jc w:val="both"/>
            </w:pPr>
            <w:r w:rsidRPr="006C273B">
              <w:t>Final report to those charged with governance (RTTCWG) issued</w:t>
            </w:r>
          </w:p>
          <w:p w14:paraId="1BB6FAA0" w14:textId="77777777" w:rsidR="006C273B" w:rsidRPr="006C273B" w:rsidRDefault="006C273B" w:rsidP="00CD5486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14:paraId="55B98F69" w14:textId="77777777" w:rsidR="006C273B" w:rsidRPr="006C273B" w:rsidRDefault="006C273B" w:rsidP="00CD5486">
            <w:pPr>
              <w:jc w:val="center"/>
            </w:pPr>
          </w:p>
          <w:p w14:paraId="4ABF8D54" w14:textId="77777777" w:rsidR="006C273B" w:rsidRPr="006C273B" w:rsidRDefault="006C273B" w:rsidP="00CD5486">
            <w:pPr>
              <w:jc w:val="center"/>
            </w:pPr>
            <w:r w:rsidRPr="006C273B">
              <w:t>30/06/22</w:t>
            </w:r>
          </w:p>
        </w:tc>
        <w:tc>
          <w:tcPr>
            <w:tcW w:w="2321" w:type="dxa"/>
            <w:shd w:val="clear" w:color="auto" w:fill="auto"/>
          </w:tcPr>
          <w:p w14:paraId="319DB5B8" w14:textId="77777777" w:rsidR="006C273B" w:rsidRPr="006C273B" w:rsidRDefault="006C273B" w:rsidP="00CD5486">
            <w:pPr>
              <w:jc w:val="center"/>
            </w:pPr>
          </w:p>
          <w:p w14:paraId="0A512465" w14:textId="77777777" w:rsidR="006C273B" w:rsidRPr="006C273B" w:rsidRDefault="006C273B" w:rsidP="00CD5486">
            <w:pPr>
              <w:jc w:val="center"/>
            </w:pPr>
            <w:r w:rsidRPr="006C273B">
              <w:t>NIAO</w:t>
            </w:r>
          </w:p>
        </w:tc>
      </w:tr>
    </w:tbl>
    <w:p w14:paraId="11C7535D" w14:textId="77777777" w:rsidR="00097B0A" w:rsidRPr="006C273B" w:rsidRDefault="00097B0A" w:rsidP="00097B0A">
      <w:pPr>
        <w:jc w:val="both"/>
      </w:pPr>
    </w:p>
    <w:p w14:paraId="26D5D43A" w14:textId="77777777" w:rsidR="00097B0A" w:rsidRPr="006C273B" w:rsidRDefault="00097B0A" w:rsidP="00097B0A"/>
    <w:p w14:paraId="79084853" w14:textId="77777777" w:rsidR="00097B0A" w:rsidRPr="002234CB" w:rsidRDefault="00097B0A" w:rsidP="00D10BFE">
      <w:pPr>
        <w:jc w:val="both"/>
        <w:rPr>
          <w:rFonts w:ascii="Arial" w:hAnsi="Arial" w:cs="Arial"/>
          <w:b/>
        </w:rPr>
      </w:pPr>
    </w:p>
    <w:sectPr w:rsidR="00097B0A" w:rsidRPr="002234CB" w:rsidSect="009C3062">
      <w:pgSz w:w="11906" w:h="16838" w:code="9"/>
      <w:pgMar w:top="1077" w:right="170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633"/>
    <w:multiLevelType w:val="hybridMultilevel"/>
    <w:tmpl w:val="762E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105"/>
    <w:multiLevelType w:val="hybridMultilevel"/>
    <w:tmpl w:val="AAC25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347"/>
    <w:multiLevelType w:val="hybridMultilevel"/>
    <w:tmpl w:val="98AA46A0"/>
    <w:lvl w:ilvl="0" w:tplc="E3001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D84C86"/>
    <w:multiLevelType w:val="hybridMultilevel"/>
    <w:tmpl w:val="9A9CE112"/>
    <w:lvl w:ilvl="0" w:tplc="1BDE749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D7C4DB5"/>
    <w:multiLevelType w:val="hybridMultilevel"/>
    <w:tmpl w:val="6AEE9E22"/>
    <w:lvl w:ilvl="0" w:tplc="269441B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214E7013"/>
    <w:multiLevelType w:val="hybridMultilevel"/>
    <w:tmpl w:val="444A37C6"/>
    <w:lvl w:ilvl="0" w:tplc="D6E2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256A0"/>
    <w:multiLevelType w:val="hybridMultilevel"/>
    <w:tmpl w:val="03FE8704"/>
    <w:lvl w:ilvl="0" w:tplc="E93C3AC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0851677"/>
    <w:multiLevelType w:val="hybridMultilevel"/>
    <w:tmpl w:val="1B9C962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6EE558C"/>
    <w:multiLevelType w:val="hybridMultilevel"/>
    <w:tmpl w:val="3294A342"/>
    <w:lvl w:ilvl="0" w:tplc="ABB4A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A19BC"/>
    <w:multiLevelType w:val="hybridMultilevel"/>
    <w:tmpl w:val="AA2A9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C75AD"/>
    <w:multiLevelType w:val="hybridMultilevel"/>
    <w:tmpl w:val="F2D8D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6"/>
    <w:rsid w:val="00003581"/>
    <w:rsid w:val="0001286B"/>
    <w:rsid w:val="00014021"/>
    <w:rsid w:val="00015B08"/>
    <w:rsid w:val="0003414B"/>
    <w:rsid w:val="00034DB6"/>
    <w:rsid w:val="00035430"/>
    <w:rsid w:val="00042429"/>
    <w:rsid w:val="000428AF"/>
    <w:rsid w:val="00065456"/>
    <w:rsid w:val="000776FF"/>
    <w:rsid w:val="000826F3"/>
    <w:rsid w:val="00097B0A"/>
    <w:rsid w:val="000A2659"/>
    <w:rsid w:val="000A5CD3"/>
    <w:rsid w:val="000A62C5"/>
    <w:rsid w:val="000B2606"/>
    <w:rsid w:val="000B6010"/>
    <w:rsid w:val="000B6837"/>
    <w:rsid w:val="000B6E26"/>
    <w:rsid w:val="000B7CB5"/>
    <w:rsid w:val="000C626B"/>
    <w:rsid w:val="000C7BC6"/>
    <w:rsid w:val="000E3485"/>
    <w:rsid w:val="000F2EC6"/>
    <w:rsid w:val="001010EF"/>
    <w:rsid w:val="00103C40"/>
    <w:rsid w:val="0010523D"/>
    <w:rsid w:val="00107D07"/>
    <w:rsid w:val="00115F22"/>
    <w:rsid w:val="001226C9"/>
    <w:rsid w:val="00127654"/>
    <w:rsid w:val="00132856"/>
    <w:rsid w:val="0013569F"/>
    <w:rsid w:val="0014385F"/>
    <w:rsid w:val="00151681"/>
    <w:rsid w:val="00164173"/>
    <w:rsid w:val="00175BCB"/>
    <w:rsid w:val="00175F1B"/>
    <w:rsid w:val="00177C0D"/>
    <w:rsid w:val="00182BC2"/>
    <w:rsid w:val="001833B2"/>
    <w:rsid w:val="001843B8"/>
    <w:rsid w:val="00187B20"/>
    <w:rsid w:val="00191236"/>
    <w:rsid w:val="001A1FE8"/>
    <w:rsid w:val="001A2972"/>
    <w:rsid w:val="001A75AB"/>
    <w:rsid w:val="001C6F3C"/>
    <w:rsid w:val="001D26E6"/>
    <w:rsid w:val="001D371D"/>
    <w:rsid w:val="001D4272"/>
    <w:rsid w:val="001F0D05"/>
    <w:rsid w:val="001F6F61"/>
    <w:rsid w:val="001F7AB9"/>
    <w:rsid w:val="002004AA"/>
    <w:rsid w:val="00204138"/>
    <w:rsid w:val="00205D56"/>
    <w:rsid w:val="00206A7B"/>
    <w:rsid w:val="00216B26"/>
    <w:rsid w:val="002234AB"/>
    <w:rsid w:val="00223FF2"/>
    <w:rsid w:val="002250D0"/>
    <w:rsid w:val="00252112"/>
    <w:rsid w:val="00256B21"/>
    <w:rsid w:val="00261CC4"/>
    <w:rsid w:val="00263330"/>
    <w:rsid w:val="002727D1"/>
    <w:rsid w:val="00287A15"/>
    <w:rsid w:val="00290E0D"/>
    <w:rsid w:val="002940B1"/>
    <w:rsid w:val="00296D1C"/>
    <w:rsid w:val="002A162C"/>
    <w:rsid w:val="002A44CB"/>
    <w:rsid w:val="002A610F"/>
    <w:rsid w:val="002B1B55"/>
    <w:rsid w:val="002B28A7"/>
    <w:rsid w:val="002C4CCE"/>
    <w:rsid w:val="002E44F2"/>
    <w:rsid w:val="002F07DA"/>
    <w:rsid w:val="002F404C"/>
    <w:rsid w:val="002F4473"/>
    <w:rsid w:val="00302529"/>
    <w:rsid w:val="00304519"/>
    <w:rsid w:val="00305370"/>
    <w:rsid w:val="0031104B"/>
    <w:rsid w:val="003141B3"/>
    <w:rsid w:val="00320E94"/>
    <w:rsid w:val="00323F37"/>
    <w:rsid w:val="003273C7"/>
    <w:rsid w:val="0035168A"/>
    <w:rsid w:val="00365167"/>
    <w:rsid w:val="00374F86"/>
    <w:rsid w:val="003B3912"/>
    <w:rsid w:val="003B57E1"/>
    <w:rsid w:val="003C3076"/>
    <w:rsid w:val="003D1B85"/>
    <w:rsid w:val="003D5E3E"/>
    <w:rsid w:val="003D64C5"/>
    <w:rsid w:val="003E1CDF"/>
    <w:rsid w:val="003E75CB"/>
    <w:rsid w:val="003F0AAE"/>
    <w:rsid w:val="003F2A90"/>
    <w:rsid w:val="003F2FB8"/>
    <w:rsid w:val="003F44D9"/>
    <w:rsid w:val="004047DF"/>
    <w:rsid w:val="00405314"/>
    <w:rsid w:val="00405C26"/>
    <w:rsid w:val="004063E4"/>
    <w:rsid w:val="004138F9"/>
    <w:rsid w:val="00420F64"/>
    <w:rsid w:val="0042243C"/>
    <w:rsid w:val="00423175"/>
    <w:rsid w:val="00425A0B"/>
    <w:rsid w:val="004312D9"/>
    <w:rsid w:val="00431CAB"/>
    <w:rsid w:val="00431D62"/>
    <w:rsid w:val="00443FF6"/>
    <w:rsid w:val="004548CA"/>
    <w:rsid w:val="00455028"/>
    <w:rsid w:val="004608E1"/>
    <w:rsid w:val="004652EC"/>
    <w:rsid w:val="00465AAB"/>
    <w:rsid w:val="004668B0"/>
    <w:rsid w:val="0047297B"/>
    <w:rsid w:val="00473CED"/>
    <w:rsid w:val="00480EEA"/>
    <w:rsid w:val="00481A05"/>
    <w:rsid w:val="004909AC"/>
    <w:rsid w:val="00494E75"/>
    <w:rsid w:val="004A5EC0"/>
    <w:rsid w:val="004B486C"/>
    <w:rsid w:val="004D7B22"/>
    <w:rsid w:val="004E6247"/>
    <w:rsid w:val="004E7581"/>
    <w:rsid w:val="004F676C"/>
    <w:rsid w:val="004F6FCF"/>
    <w:rsid w:val="004F72C8"/>
    <w:rsid w:val="0050165D"/>
    <w:rsid w:val="00514E3E"/>
    <w:rsid w:val="005176BC"/>
    <w:rsid w:val="00530106"/>
    <w:rsid w:val="00535EC6"/>
    <w:rsid w:val="00540D52"/>
    <w:rsid w:val="00542717"/>
    <w:rsid w:val="00560ECB"/>
    <w:rsid w:val="00576FFA"/>
    <w:rsid w:val="005A0A1B"/>
    <w:rsid w:val="005B0184"/>
    <w:rsid w:val="005B4DAC"/>
    <w:rsid w:val="005B660C"/>
    <w:rsid w:val="005C3149"/>
    <w:rsid w:val="005E5B42"/>
    <w:rsid w:val="005F676A"/>
    <w:rsid w:val="005F6F3F"/>
    <w:rsid w:val="006100F0"/>
    <w:rsid w:val="0061641E"/>
    <w:rsid w:val="006318AA"/>
    <w:rsid w:val="00636731"/>
    <w:rsid w:val="0064751C"/>
    <w:rsid w:val="006611C3"/>
    <w:rsid w:val="0066286D"/>
    <w:rsid w:val="00673B0E"/>
    <w:rsid w:val="006742BC"/>
    <w:rsid w:val="00686315"/>
    <w:rsid w:val="00695559"/>
    <w:rsid w:val="00697805"/>
    <w:rsid w:val="006A5F4D"/>
    <w:rsid w:val="006A7AA5"/>
    <w:rsid w:val="006B3C64"/>
    <w:rsid w:val="006B7D18"/>
    <w:rsid w:val="006C273B"/>
    <w:rsid w:val="006D1D11"/>
    <w:rsid w:val="006D4A67"/>
    <w:rsid w:val="006D5F02"/>
    <w:rsid w:val="006E10ED"/>
    <w:rsid w:val="006F3440"/>
    <w:rsid w:val="00702530"/>
    <w:rsid w:val="00703ECF"/>
    <w:rsid w:val="00720995"/>
    <w:rsid w:val="00721B29"/>
    <w:rsid w:val="00723EC1"/>
    <w:rsid w:val="00735F80"/>
    <w:rsid w:val="00735FE3"/>
    <w:rsid w:val="00742570"/>
    <w:rsid w:val="00743E8C"/>
    <w:rsid w:val="0078790D"/>
    <w:rsid w:val="0079169B"/>
    <w:rsid w:val="00791D20"/>
    <w:rsid w:val="00795129"/>
    <w:rsid w:val="007960B5"/>
    <w:rsid w:val="007A0194"/>
    <w:rsid w:val="007A31F0"/>
    <w:rsid w:val="007B4137"/>
    <w:rsid w:val="007C2738"/>
    <w:rsid w:val="007D10E0"/>
    <w:rsid w:val="007D3AFD"/>
    <w:rsid w:val="007E1928"/>
    <w:rsid w:val="007F4A01"/>
    <w:rsid w:val="007F5595"/>
    <w:rsid w:val="007F70E1"/>
    <w:rsid w:val="00800F47"/>
    <w:rsid w:val="008047BB"/>
    <w:rsid w:val="008101DF"/>
    <w:rsid w:val="00812C28"/>
    <w:rsid w:val="008210C4"/>
    <w:rsid w:val="00823A3A"/>
    <w:rsid w:val="00831C6A"/>
    <w:rsid w:val="00833905"/>
    <w:rsid w:val="00844502"/>
    <w:rsid w:val="00852C47"/>
    <w:rsid w:val="00855D85"/>
    <w:rsid w:val="008562AA"/>
    <w:rsid w:val="00864668"/>
    <w:rsid w:val="00864BD6"/>
    <w:rsid w:val="008835DF"/>
    <w:rsid w:val="0088522E"/>
    <w:rsid w:val="00892A64"/>
    <w:rsid w:val="008A4C77"/>
    <w:rsid w:val="008C1C30"/>
    <w:rsid w:val="008D61CC"/>
    <w:rsid w:val="008F5AE0"/>
    <w:rsid w:val="00914547"/>
    <w:rsid w:val="00916096"/>
    <w:rsid w:val="00916917"/>
    <w:rsid w:val="009239EF"/>
    <w:rsid w:val="0092586D"/>
    <w:rsid w:val="00932526"/>
    <w:rsid w:val="00932EDD"/>
    <w:rsid w:val="00940860"/>
    <w:rsid w:val="00941EBA"/>
    <w:rsid w:val="00945358"/>
    <w:rsid w:val="00951D6D"/>
    <w:rsid w:val="009531B7"/>
    <w:rsid w:val="009812EB"/>
    <w:rsid w:val="009829B6"/>
    <w:rsid w:val="00983CB7"/>
    <w:rsid w:val="00986D01"/>
    <w:rsid w:val="00996F67"/>
    <w:rsid w:val="009A487A"/>
    <w:rsid w:val="009B1610"/>
    <w:rsid w:val="009C2A34"/>
    <w:rsid w:val="009C3062"/>
    <w:rsid w:val="009D77F1"/>
    <w:rsid w:val="009E096A"/>
    <w:rsid w:val="00A05CB2"/>
    <w:rsid w:val="00A2570C"/>
    <w:rsid w:val="00A467D9"/>
    <w:rsid w:val="00A52AA1"/>
    <w:rsid w:val="00A557F9"/>
    <w:rsid w:val="00A66A8F"/>
    <w:rsid w:val="00A67B97"/>
    <w:rsid w:val="00A81B3D"/>
    <w:rsid w:val="00A9046D"/>
    <w:rsid w:val="00A93267"/>
    <w:rsid w:val="00AA2665"/>
    <w:rsid w:val="00AB02A3"/>
    <w:rsid w:val="00AB183B"/>
    <w:rsid w:val="00AC6AF1"/>
    <w:rsid w:val="00AD055B"/>
    <w:rsid w:val="00AE083B"/>
    <w:rsid w:val="00AE2DF1"/>
    <w:rsid w:val="00AF0F23"/>
    <w:rsid w:val="00B32C6E"/>
    <w:rsid w:val="00B33609"/>
    <w:rsid w:val="00B36446"/>
    <w:rsid w:val="00B40CE1"/>
    <w:rsid w:val="00B434A9"/>
    <w:rsid w:val="00B4672B"/>
    <w:rsid w:val="00B51A87"/>
    <w:rsid w:val="00B5232A"/>
    <w:rsid w:val="00B60354"/>
    <w:rsid w:val="00B64F35"/>
    <w:rsid w:val="00B66442"/>
    <w:rsid w:val="00B66792"/>
    <w:rsid w:val="00B90EF1"/>
    <w:rsid w:val="00BA6CCB"/>
    <w:rsid w:val="00BB457B"/>
    <w:rsid w:val="00BB6607"/>
    <w:rsid w:val="00BB6F9F"/>
    <w:rsid w:val="00BC42A1"/>
    <w:rsid w:val="00BC4EB5"/>
    <w:rsid w:val="00BC5525"/>
    <w:rsid w:val="00BC6139"/>
    <w:rsid w:val="00BC6B7A"/>
    <w:rsid w:val="00BD19B0"/>
    <w:rsid w:val="00BD652F"/>
    <w:rsid w:val="00BF2D28"/>
    <w:rsid w:val="00BF5395"/>
    <w:rsid w:val="00C0691A"/>
    <w:rsid w:val="00C14869"/>
    <w:rsid w:val="00C14A1F"/>
    <w:rsid w:val="00C23484"/>
    <w:rsid w:val="00C37161"/>
    <w:rsid w:val="00C42F53"/>
    <w:rsid w:val="00C53F98"/>
    <w:rsid w:val="00C55323"/>
    <w:rsid w:val="00C614DC"/>
    <w:rsid w:val="00C71899"/>
    <w:rsid w:val="00C84AE4"/>
    <w:rsid w:val="00C90001"/>
    <w:rsid w:val="00CA71BA"/>
    <w:rsid w:val="00CB771A"/>
    <w:rsid w:val="00CD255E"/>
    <w:rsid w:val="00CE1116"/>
    <w:rsid w:val="00CF77FD"/>
    <w:rsid w:val="00D10AA9"/>
    <w:rsid w:val="00D10BFE"/>
    <w:rsid w:val="00D14150"/>
    <w:rsid w:val="00D15E4A"/>
    <w:rsid w:val="00D165F7"/>
    <w:rsid w:val="00D1768C"/>
    <w:rsid w:val="00D574CC"/>
    <w:rsid w:val="00D64EA1"/>
    <w:rsid w:val="00DA1E41"/>
    <w:rsid w:val="00DA45A7"/>
    <w:rsid w:val="00DB7805"/>
    <w:rsid w:val="00DC1604"/>
    <w:rsid w:val="00DC2C49"/>
    <w:rsid w:val="00DD4EFA"/>
    <w:rsid w:val="00DD67F5"/>
    <w:rsid w:val="00DE1505"/>
    <w:rsid w:val="00DF049C"/>
    <w:rsid w:val="00DF6612"/>
    <w:rsid w:val="00E07CBD"/>
    <w:rsid w:val="00E111BD"/>
    <w:rsid w:val="00E12325"/>
    <w:rsid w:val="00E222FC"/>
    <w:rsid w:val="00E31F7D"/>
    <w:rsid w:val="00E4387E"/>
    <w:rsid w:val="00E53988"/>
    <w:rsid w:val="00E55DFA"/>
    <w:rsid w:val="00E60E96"/>
    <w:rsid w:val="00E61965"/>
    <w:rsid w:val="00E64EF3"/>
    <w:rsid w:val="00E761AB"/>
    <w:rsid w:val="00E904DB"/>
    <w:rsid w:val="00E9460D"/>
    <w:rsid w:val="00E956D3"/>
    <w:rsid w:val="00EA50F9"/>
    <w:rsid w:val="00EB09D2"/>
    <w:rsid w:val="00EC682B"/>
    <w:rsid w:val="00ED6CDD"/>
    <w:rsid w:val="00ED715B"/>
    <w:rsid w:val="00EE2E5F"/>
    <w:rsid w:val="00EF6E6A"/>
    <w:rsid w:val="00F00BBB"/>
    <w:rsid w:val="00F04D72"/>
    <w:rsid w:val="00F05D23"/>
    <w:rsid w:val="00F06E7E"/>
    <w:rsid w:val="00F256CB"/>
    <w:rsid w:val="00F33DCC"/>
    <w:rsid w:val="00F34681"/>
    <w:rsid w:val="00F4206F"/>
    <w:rsid w:val="00F46358"/>
    <w:rsid w:val="00F543AB"/>
    <w:rsid w:val="00F5513D"/>
    <w:rsid w:val="00F66920"/>
    <w:rsid w:val="00F707DD"/>
    <w:rsid w:val="00F7520C"/>
    <w:rsid w:val="00F92AE1"/>
    <w:rsid w:val="00F92CE3"/>
    <w:rsid w:val="00F95F98"/>
    <w:rsid w:val="00FA4EF7"/>
    <w:rsid w:val="00FB2A7A"/>
    <w:rsid w:val="00FC7DF2"/>
    <w:rsid w:val="00FD6067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B09A4"/>
  <w15:docId w15:val="{A730E64D-96F6-44A7-AC82-02124F6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F3C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6F3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6F3C"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6F3C"/>
    <w:pPr>
      <w:keepNext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6F3C"/>
    <w:pPr>
      <w:keepNext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6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10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3110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31104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31104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31104B"/>
    <w:rPr>
      <w:rFonts w:ascii="Calibri" w:hAnsi="Calibri" w:cs="Times New Roman"/>
      <w:b/>
      <w:bCs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31104B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C6F3C"/>
    <w:rPr>
      <w:szCs w:val="20"/>
    </w:rPr>
  </w:style>
  <w:style w:type="character" w:customStyle="1" w:styleId="BodyTextChar">
    <w:name w:val="Body Text Char"/>
    <w:link w:val="BodyText"/>
    <w:uiPriority w:val="99"/>
    <w:locked/>
    <w:rsid w:val="0031104B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C6F3C"/>
    <w:pPr>
      <w:jc w:val="both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31104B"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1C6F3C"/>
    <w:pPr>
      <w:jc w:val="both"/>
    </w:pPr>
    <w:rPr>
      <w:b/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31104B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1C6F3C"/>
    <w:rPr>
      <w:b/>
      <w:bCs/>
      <w:sz w:val="20"/>
    </w:rPr>
  </w:style>
  <w:style w:type="paragraph" w:styleId="BodyTextIndent">
    <w:name w:val="Body Text Indent"/>
    <w:basedOn w:val="Normal"/>
    <w:link w:val="BodyTextIndentChar"/>
    <w:uiPriority w:val="99"/>
    <w:rsid w:val="001C6F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04B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1C6F3C"/>
    <w:rPr>
      <w:rFonts w:cs="Times New Roman"/>
      <w:color w:val="0000FF"/>
      <w:u w:val="none"/>
    </w:rPr>
  </w:style>
  <w:style w:type="character" w:styleId="FollowedHyperlink">
    <w:name w:val="FollowedHyperlink"/>
    <w:uiPriority w:val="99"/>
    <w:rsid w:val="001C6F3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C6F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104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C6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1104B"/>
    <w:rPr>
      <w:rFonts w:cs="Times New Roman"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C6F3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04B"/>
    <w:rPr>
      <w:rFonts w:cs="Times New Roman"/>
      <w:sz w:val="24"/>
      <w:szCs w:val="24"/>
      <w:lang w:eastAsia="en-US"/>
    </w:rPr>
  </w:style>
  <w:style w:type="paragraph" w:customStyle="1" w:styleId="BusinessArea">
    <w:name w:val="Business Area"/>
    <w:basedOn w:val="AddressInfo"/>
    <w:uiPriority w:val="99"/>
    <w:rsid w:val="001C6F3C"/>
    <w:rPr>
      <w:b/>
    </w:rPr>
  </w:style>
  <w:style w:type="paragraph" w:customStyle="1" w:styleId="AddressInfo">
    <w:name w:val="Address Info"/>
    <w:basedOn w:val="Normal"/>
    <w:uiPriority w:val="99"/>
    <w:rsid w:val="001C6F3C"/>
    <w:rPr>
      <w:rFonts w:ascii="Verdana" w:hAnsi="Verdana"/>
      <w:sz w:val="20"/>
    </w:rPr>
  </w:style>
  <w:style w:type="paragraph" w:customStyle="1" w:styleId="Content">
    <w:name w:val="Content"/>
    <w:basedOn w:val="AddressInfo"/>
    <w:uiPriority w:val="99"/>
    <w:rsid w:val="001C6F3C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1C6F3C"/>
    <w:pPr>
      <w:spacing w:before="100" w:beforeAutospacing="1" w:after="100" w:afterAutospacing="1"/>
    </w:pPr>
    <w:rPr>
      <w:lang w:val="en-US"/>
    </w:rPr>
  </w:style>
  <w:style w:type="paragraph" w:customStyle="1" w:styleId="DefaultText">
    <w:name w:val="Default Text"/>
    <w:basedOn w:val="Normal"/>
    <w:uiPriority w:val="99"/>
    <w:rsid w:val="001C6F3C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styleId="CommentReference">
    <w:name w:val="annotation reference"/>
    <w:uiPriority w:val="99"/>
    <w:semiHidden/>
    <w:rsid w:val="001C6F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6F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1104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104B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434A9"/>
    <w:pPr>
      <w:ind w:left="720"/>
    </w:pPr>
  </w:style>
  <w:style w:type="paragraph" w:styleId="Header">
    <w:name w:val="header"/>
    <w:basedOn w:val="Normal"/>
    <w:link w:val="HeaderChar"/>
    <w:uiPriority w:val="99"/>
    <w:rsid w:val="007951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95129"/>
    <w:rPr>
      <w:rFonts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960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e.newell@health-ni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HSS(FAU) 23/2003</vt:lpstr>
    </vt:vector>
  </TitlesOfParts>
  <Company>DHSS ITGROUP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HSS(FAU) 23/2003</dc:title>
  <dc:subject/>
  <dc:creator>2332373</dc:creator>
  <cp:keywords/>
  <dc:description/>
  <cp:lastModifiedBy>Galway, Eileen</cp:lastModifiedBy>
  <cp:revision>4</cp:revision>
  <cp:lastPrinted>2019-02-21T10:24:00Z</cp:lastPrinted>
  <dcterms:created xsi:type="dcterms:W3CDTF">2022-02-10T14:07:00Z</dcterms:created>
  <dcterms:modified xsi:type="dcterms:W3CDTF">2022-02-10T15:53:00Z</dcterms:modified>
</cp:coreProperties>
</file>