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04ED6E3E" w14:textId="3EF5AFB3" w:rsidR="00A44814" w:rsidRDefault="00F82381">
      <w:pPr>
        <w:rPr>
          <w:b/>
        </w:rPr>
      </w:pPr>
      <w:r w:rsidRPr="00F82381">
        <w:rPr>
          <w:b/>
        </w:rPr>
        <w:t>Barrett's oesophagus and stage 1 oesophageal adenocarcinoma: monitoring and management</w:t>
      </w:r>
    </w:p>
    <w:p w14:paraId="72624077" w14:textId="77777777" w:rsidR="00F82381" w:rsidRDefault="00F823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815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953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2023-02-08T11:53:00Z</dcterms:created>
  <dcterms:modified xsi:type="dcterms:W3CDTF">2023-02-08T11:53:00Z</dcterms:modified>
</cp:coreProperties>
</file>