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63059" w:rsidRDefault="00927983">
      <w:pPr>
        <w:rPr>
          <w:b/>
          <w:sz w:val="28"/>
          <w:szCs w:val="28"/>
        </w:rPr>
      </w:pPr>
      <w:proofErr w:type="spellStart"/>
      <w:r w:rsidRPr="00927983">
        <w:rPr>
          <w:b/>
          <w:sz w:val="28"/>
          <w:szCs w:val="28"/>
        </w:rPr>
        <w:t>Midostaurin</w:t>
      </w:r>
      <w:proofErr w:type="spellEnd"/>
      <w:r w:rsidRPr="00927983">
        <w:rPr>
          <w:b/>
          <w:sz w:val="28"/>
          <w:szCs w:val="28"/>
        </w:rPr>
        <w:t xml:space="preserve"> for untreated acute myeloid leukaemia</w:t>
      </w:r>
    </w:p>
    <w:p w:rsidR="00927983" w:rsidRDefault="0092798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D2E9F"/>
    <w:rsid w:val="00163059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8B1D78"/>
    <w:rsid w:val="00927983"/>
    <w:rsid w:val="0096479E"/>
    <w:rsid w:val="00AA422D"/>
    <w:rsid w:val="00AD2652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2018-05-04T08:39:00Z</dcterms:created>
  <dcterms:modified xsi:type="dcterms:W3CDTF">2018-05-04T08:39:00Z</dcterms:modified>
</cp:coreProperties>
</file>