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82688" w:rsidRDefault="00B32D5C">
      <w:pPr>
        <w:rPr>
          <w:b/>
          <w:sz w:val="28"/>
          <w:szCs w:val="28"/>
        </w:rPr>
      </w:pPr>
      <w:r w:rsidRPr="00B32D5C">
        <w:rPr>
          <w:b/>
          <w:sz w:val="28"/>
          <w:szCs w:val="28"/>
        </w:rPr>
        <w:t>Medicines associated with dependence or withdrawal symptoms: safe prescribing and withdrawal management for adults</w:t>
      </w:r>
    </w:p>
    <w:p w:rsidR="00B32D5C" w:rsidRDefault="00B32D5C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F2C5E"/>
    <w:rsid w:val="005032C1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38D5A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839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981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2022-04-25T10:01:00Z</dcterms:created>
  <dcterms:modified xsi:type="dcterms:W3CDTF">2022-04-25T10:01:00Z</dcterms:modified>
</cp:coreProperties>
</file>