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850E47" w:rsidRDefault="007545A0">
      <w:pPr>
        <w:rPr>
          <w:b/>
          <w:sz w:val="28"/>
          <w:szCs w:val="28"/>
        </w:rPr>
      </w:pPr>
      <w:proofErr w:type="spellStart"/>
      <w:r w:rsidRPr="007545A0">
        <w:rPr>
          <w:b/>
          <w:sz w:val="28"/>
          <w:szCs w:val="28"/>
        </w:rPr>
        <w:t>Cetuximab</w:t>
      </w:r>
      <w:proofErr w:type="spellEnd"/>
      <w:r w:rsidRPr="007545A0">
        <w:rPr>
          <w:b/>
          <w:sz w:val="28"/>
          <w:szCs w:val="28"/>
        </w:rPr>
        <w:t xml:space="preserve"> and </w:t>
      </w:r>
      <w:proofErr w:type="spellStart"/>
      <w:r w:rsidRPr="007545A0">
        <w:rPr>
          <w:b/>
          <w:sz w:val="28"/>
          <w:szCs w:val="28"/>
        </w:rPr>
        <w:t>panitumumab</w:t>
      </w:r>
      <w:proofErr w:type="spellEnd"/>
      <w:r w:rsidRPr="007545A0">
        <w:rPr>
          <w:b/>
          <w:sz w:val="28"/>
          <w:szCs w:val="28"/>
        </w:rPr>
        <w:t xml:space="preserve"> for previously untreated metastatic colorectal cancer (review of TA176 &amp; part review of TA240)</w:t>
      </w:r>
    </w:p>
    <w:p w:rsidR="007545A0" w:rsidRDefault="007545A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1C1871"/>
    <w:rsid w:val="001D59D9"/>
    <w:rsid w:val="001D7D71"/>
    <w:rsid w:val="00232A76"/>
    <w:rsid w:val="002E46F8"/>
    <w:rsid w:val="00381DE5"/>
    <w:rsid w:val="004A5A22"/>
    <w:rsid w:val="0067465F"/>
    <w:rsid w:val="0073042A"/>
    <w:rsid w:val="0074268E"/>
    <w:rsid w:val="00746ED3"/>
    <w:rsid w:val="007545A0"/>
    <w:rsid w:val="00776272"/>
    <w:rsid w:val="00827531"/>
    <w:rsid w:val="00850E47"/>
    <w:rsid w:val="0096479E"/>
    <w:rsid w:val="00AF776C"/>
    <w:rsid w:val="00BC5297"/>
    <w:rsid w:val="00C51AD0"/>
    <w:rsid w:val="00D916E2"/>
    <w:rsid w:val="00EB6FAD"/>
    <w:rsid w:val="00F0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1086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2017-03-02T10:20:00Z</dcterms:created>
  <dcterms:modified xsi:type="dcterms:W3CDTF">2017-03-02T10:20:00Z</dcterms:modified>
</cp:coreProperties>
</file>