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741FDD">
      <w:pPr>
        <w:rPr>
          <w:b/>
          <w:sz w:val="28"/>
          <w:szCs w:val="28"/>
        </w:rPr>
      </w:pPr>
      <w:r w:rsidRPr="00741FDD">
        <w:rPr>
          <w:b/>
          <w:sz w:val="28"/>
          <w:szCs w:val="28"/>
        </w:rPr>
        <w:t>Bladder cancer: diagnosis and management of bladder cancer</w:t>
      </w:r>
    </w:p>
    <w:p w:rsidR="00741FDD" w:rsidRDefault="00741FD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1FDD"/>
    <w:rsid w:val="0074268E"/>
    <w:rsid w:val="00746ED3"/>
    <w:rsid w:val="00776272"/>
    <w:rsid w:val="00827531"/>
    <w:rsid w:val="0096479E"/>
    <w:rsid w:val="00AF776C"/>
    <w:rsid w:val="00BC5297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2015-02-25T09:12:00Z</dcterms:created>
  <dcterms:modified xsi:type="dcterms:W3CDTF">2015-02-25T09:12:00Z</dcterms:modified>
</cp:coreProperties>
</file>