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5354C9" w:rsidRDefault="002D19E9">
      <w:pPr>
        <w:rPr>
          <w:b/>
          <w:sz w:val="28"/>
          <w:szCs w:val="28"/>
        </w:rPr>
      </w:pPr>
      <w:r w:rsidRPr="002D19E9">
        <w:rPr>
          <w:b/>
          <w:sz w:val="28"/>
          <w:szCs w:val="28"/>
        </w:rPr>
        <w:t>Children’s attachment: attachment in children and young people who are adopted from care, in care or at high risk of going into care</w:t>
      </w:r>
      <w:r>
        <w:rPr>
          <w:b/>
          <w:sz w:val="28"/>
          <w:szCs w:val="28"/>
        </w:rPr>
        <w:t>.</w:t>
      </w:r>
    </w:p>
    <w:p w:rsidR="002D19E9" w:rsidRDefault="002D19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73E48"/>
    <w:rsid w:val="000C058E"/>
    <w:rsid w:val="001C1871"/>
    <w:rsid w:val="002D19E9"/>
    <w:rsid w:val="003E0817"/>
    <w:rsid w:val="004A74C7"/>
    <w:rsid w:val="005354C9"/>
    <w:rsid w:val="00595C14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848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999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2015-11-25T09:04:00Z</dcterms:created>
  <dcterms:modified xsi:type="dcterms:W3CDTF">2015-11-25T09:04:00Z</dcterms:modified>
</cp:coreProperties>
</file>