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11044" w14:textId="77777777" w:rsidR="002E79E3" w:rsidRPr="00B56D6B" w:rsidRDefault="002E79E3" w:rsidP="002E79E3">
      <w:pPr>
        <w:spacing w:after="200" w:line="276" w:lineRule="auto"/>
        <w:jc w:val="center"/>
        <w:rPr>
          <w:rFonts w:ascii="Arial" w:hAnsi="Arial" w:cs="Arial"/>
          <w:sz w:val="32"/>
          <w:szCs w:val="32"/>
        </w:rPr>
      </w:pPr>
      <w:bookmarkStart w:id="0" w:name="_GoBack"/>
      <w:r w:rsidRPr="00B56D6B">
        <w:rPr>
          <w:rFonts w:ascii="Arial" w:hAnsi="Arial" w:cs="Arial"/>
          <w:b/>
          <w:sz w:val="32"/>
          <w:szCs w:val="32"/>
        </w:rPr>
        <w:t>POST PROJECT EVALUATION</w:t>
      </w:r>
    </w:p>
    <w:p w14:paraId="08611045" w14:textId="77777777" w:rsidR="002E79E3" w:rsidRPr="00060A4C" w:rsidRDefault="002E79E3" w:rsidP="002E79E3">
      <w:pPr>
        <w:rPr>
          <w:rFonts w:ascii="Arial" w:hAnsi="Arial" w:cs="Arial"/>
          <w:b/>
          <w:sz w:val="22"/>
          <w:szCs w:val="22"/>
        </w:rPr>
      </w:pPr>
    </w:p>
    <w:tbl>
      <w:tblPr>
        <w:tblpPr w:leftFromText="180" w:rightFromText="180" w:vertAnchor="text" w:horzAnchor="margin" w:tblpX="-176" w:tblpY="-7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7162"/>
      </w:tblGrid>
      <w:tr w:rsidR="002E79E3" w:rsidRPr="00B56D6B" w14:paraId="08611048" w14:textId="77777777" w:rsidTr="00BA5E61">
        <w:trPr>
          <w:cantSplit/>
        </w:trPr>
        <w:tc>
          <w:tcPr>
            <w:tcW w:w="2302" w:type="dxa"/>
          </w:tcPr>
          <w:p w14:paraId="08611046" w14:textId="77777777" w:rsidR="002E79E3" w:rsidRPr="00B56D6B" w:rsidRDefault="002E79E3" w:rsidP="000477A3">
            <w:pPr>
              <w:rPr>
                <w:rFonts w:ascii="Arial" w:hAnsi="Arial" w:cs="Arial"/>
                <w:b/>
              </w:rPr>
            </w:pPr>
            <w:r w:rsidRPr="00B56D6B">
              <w:rPr>
                <w:rFonts w:ascii="Arial" w:hAnsi="Arial" w:cs="Arial"/>
                <w:b/>
                <w:sz w:val="22"/>
                <w:szCs w:val="22"/>
              </w:rPr>
              <w:t>Name of organisation</w:t>
            </w:r>
          </w:p>
        </w:tc>
        <w:tc>
          <w:tcPr>
            <w:tcW w:w="7162" w:type="dxa"/>
          </w:tcPr>
          <w:p w14:paraId="6F0ECE00" w14:textId="12283868" w:rsidR="00FC6565" w:rsidRPr="00FC6565" w:rsidRDefault="00FC6565" w:rsidP="00FC6565">
            <w:pPr>
              <w:rPr>
                <w:rFonts w:ascii="Arial" w:hAnsi="Arial" w:cs="Arial"/>
                <w:b/>
              </w:rPr>
            </w:pPr>
            <w:r>
              <w:rPr>
                <w:rFonts w:ascii="Arial" w:hAnsi="Arial" w:cs="Arial"/>
                <w:b/>
              </w:rPr>
              <w:t>SPPG</w:t>
            </w:r>
          </w:p>
          <w:p w14:paraId="08611047" w14:textId="7CC8F155" w:rsidR="002E79E3" w:rsidRPr="00B56D6B" w:rsidRDefault="002E79E3" w:rsidP="00FC6565">
            <w:pPr>
              <w:rPr>
                <w:rFonts w:ascii="Arial" w:hAnsi="Arial" w:cs="Arial"/>
                <w:b/>
              </w:rPr>
            </w:pPr>
          </w:p>
        </w:tc>
      </w:tr>
      <w:tr w:rsidR="002E79E3" w:rsidRPr="00B56D6B" w14:paraId="0861104C" w14:textId="77777777" w:rsidTr="00BA5E61">
        <w:trPr>
          <w:cantSplit/>
        </w:trPr>
        <w:tc>
          <w:tcPr>
            <w:tcW w:w="2302" w:type="dxa"/>
          </w:tcPr>
          <w:p w14:paraId="08611049" w14:textId="77777777" w:rsidR="002E79E3" w:rsidRPr="00B56D6B" w:rsidRDefault="002E79E3" w:rsidP="000477A3">
            <w:pPr>
              <w:rPr>
                <w:rFonts w:ascii="Arial" w:hAnsi="Arial" w:cs="Arial"/>
                <w:b/>
              </w:rPr>
            </w:pPr>
            <w:r w:rsidRPr="00B56D6B">
              <w:rPr>
                <w:rFonts w:ascii="Arial" w:hAnsi="Arial" w:cs="Arial"/>
                <w:b/>
                <w:sz w:val="22"/>
                <w:szCs w:val="22"/>
              </w:rPr>
              <w:t>Project Title</w:t>
            </w:r>
          </w:p>
          <w:p w14:paraId="0861104A" w14:textId="77777777" w:rsidR="002E79E3" w:rsidRPr="00B56D6B" w:rsidRDefault="002E79E3" w:rsidP="000477A3">
            <w:pPr>
              <w:rPr>
                <w:rFonts w:ascii="Arial" w:hAnsi="Arial" w:cs="Arial"/>
                <w:b/>
              </w:rPr>
            </w:pPr>
          </w:p>
        </w:tc>
        <w:tc>
          <w:tcPr>
            <w:tcW w:w="7162" w:type="dxa"/>
          </w:tcPr>
          <w:p w14:paraId="0861104B" w14:textId="665BCA5F" w:rsidR="002E79E3" w:rsidRPr="00B56D6B" w:rsidRDefault="00FC6565" w:rsidP="000477A3">
            <w:pPr>
              <w:rPr>
                <w:rFonts w:ascii="Arial" w:hAnsi="Arial" w:cs="Arial"/>
                <w:b/>
              </w:rPr>
            </w:pPr>
            <w:r w:rsidRPr="00FC6565">
              <w:rPr>
                <w:rFonts w:ascii="Arial" w:hAnsi="Arial" w:cs="Arial"/>
                <w:b/>
              </w:rPr>
              <w:t>Oral Surgery Pilot PDS Scheme 2022/23</w:t>
            </w:r>
          </w:p>
        </w:tc>
      </w:tr>
      <w:tr w:rsidR="002E79E3" w:rsidRPr="00B56D6B" w14:paraId="08611050" w14:textId="77777777" w:rsidTr="00BA5E61">
        <w:trPr>
          <w:cantSplit/>
        </w:trPr>
        <w:tc>
          <w:tcPr>
            <w:tcW w:w="2302" w:type="dxa"/>
          </w:tcPr>
          <w:p w14:paraId="0861104D" w14:textId="77777777" w:rsidR="002E79E3" w:rsidRPr="00B56D6B" w:rsidRDefault="002E79E3" w:rsidP="000477A3">
            <w:pPr>
              <w:rPr>
                <w:rFonts w:ascii="Arial" w:hAnsi="Arial" w:cs="Arial"/>
                <w:b/>
              </w:rPr>
            </w:pPr>
            <w:r w:rsidRPr="00B56D6B">
              <w:rPr>
                <w:rFonts w:ascii="Arial" w:hAnsi="Arial" w:cs="Arial"/>
                <w:b/>
                <w:sz w:val="22"/>
                <w:szCs w:val="22"/>
              </w:rPr>
              <w:t>Total Cost</w:t>
            </w:r>
          </w:p>
          <w:p w14:paraId="0861104E" w14:textId="77777777" w:rsidR="002E79E3" w:rsidRPr="00B56D6B" w:rsidRDefault="002E79E3" w:rsidP="000477A3">
            <w:pPr>
              <w:rPr>
                <w:rFonts w:ascii="Arial" w:hAnsi="Arial" w:cs="Arial"/>
                <w:b/>
              </w:rPr>
            </w:pPr>
          </w:p>
        </w:tc>
        <w:tc>
          <w:tcPr>
            <w:tcW w:w="7162" w:type="dxa"/>
          </w:tcPr>
          <w:p w14:paraId="63CA8E85" w14:textId="77777777" w:rsidR="00FC6565" w:rsidRPr="00FC6565" w:rsidRDefault="00FC6565" w:rsidP="00FC6565">
            <w:pPr>
              <w:rPr>
                <w:rFonts w:ascii="Arial" w:hAnsi="Arial" w:cs="Arial"/>
                <w:b/>
              </w:rPr>
            </w:pPr>
            <w:r w:rsidRPr="00FC6565">
              <w:rPr>
                <w:rFonts w:ascii="Arial" w:hAnsi="Arial" w:cs="Arial"/>
                <w:b/>
              </w:rPr>
              <w:t>£778k</w:t>
            </w:r>
          </w:p>
          <w:p w14:paraId="0861104F" w14:textId="6B3A469E" w:rsidR="002E79E3" w:rsidRPr="00B56D6B" w:rsidRDefault="002E79E3" w:rsidP="00FC6565">
            <w:pPr>
              <w:rPr>
                <w:rFonts w:ascii="Arial" w:hAnsi="Arial" w:cs="Arial"/>
                <w:b/>
              </w:rPr>
            </w:pPr>
          </w:p>
        </w:tc>
      </w:tr>
      <w:tr w:rsidR="002E79E3" w:rsidRPr="00BA5E61" w14:paraId="08611054" w14:textId="77777777" w:rsidTr="00BA5E61">
        <w:trPr>
          <w:cantSplit/>
        </w:trPr>
        <w:tc>
          <w:tcPr>
            <w:tcW w:w="2302" w:type="dxa"/>
          </w:tcPr>
          <w:p w14:paraId="08611051" w14:textId="77777777" w:rsidR="002E79E3" w:rsidRPr="00BA5E61" w:rsidRDefault="002E79E3" w:rsidP="000477A3">
            <w:pPr>
              <w:rPr>
                <w:rFonts w:ascii="Arial" w:hAnsi="Arial" w:cs="Arial"/>
                <w:b/>
              </w:rPr>
            </w:pPr>
            <w:r w:rsidRPr="00BA5E61">
              <w:rPr>
                <w:rFonts w:ascii="Arial" w:hAnsi="Arial" w:cs="Arial"/>
                <w:b/>
                <w:sz w:val="22"/>
                <w:szCs w:val="22"/>
              </w:rPr>
              <w:t>Start date</w:t>
            </w:r>
          </w:p>
          <w:p w14:paraId="08611052" w14:textId="77777777" w:rsidR="002E79E3" w:rsidRPr="00BA5E61" w:rsidRDefault="002E79E3" w:rsidP="000477A3">
            <w:pPr>
              <w:rPr>
                <w:rFonts w:ascii="Arial" w:hAnsi="Arial" w:cs="Arial"/>
                <w:b/>
              </w:rPr>
            </w:pPr>
          </w:p>
        </w:tc>
        <w:tc>
          <w:tcPr>
            <w:tcW w:w="7162" w:type="dxa"/>
          </w:tcPr>
          <w:p w14:paraId="0931F194" w14:textId="1E2DEFEE" w:rsidR="00FC6565" w:rsidRPr="00FC6565" w:rsidRDefault="00FC6565" w:rsidP="00FC6565">
            <w:pPr>
              <w:rPr>
                <w:rFonts w:ascii="Arial" w:hAnsi="Arial" w:cs="Arial"/>
                <w:b/>
              </w:rPr>
            </w:pPr>
            <w:r>
              <w:rPr>
                <w:rFonts w:ascii="Arial" w:hAnsi="Arial" w:cs="Arial"/>
                <w:b/>
              </w:rPr>
              <w:t>1 April 2022</w:t>
            </w:r>
          </w:p>
          <w:p w14:paraId="08611053" w14:textId="454FE8B1" w:rsidR="002E79E3" w:rsidRPr="00BA5E61" w:rsidRDefault="002E79E3" w:rsidP="00FC6565">
            <w:pPr>
              <w:rPr>
                <w:rFonts w:ascii="Arial" w:hAnsi="Arial" w:cs="Arial"/>
                <w:b/>
              </w:rPr>
            </w:pPr>
          </w:p>
        </w:tc>
      </w:tr>
      <w:tr w:rsidR="002E79E3" w:rsidRPr="00BA5E61" w14:paraId="08611058" w14:textId="77777777" w:rsidTr="00BA5E61">
        <w:trPr>
          <w:cantSplit/>
        </w:trPr>
        <w:tc>
          <w:tcPr>
            <w:tcW w:w="2302" w:type="dxa"/>
          </w:tcPr>
          <w:p w14:paraId="08611055" w14:textId="77777777" w:rsidR="002E79E3" w:rsidRPr="00BA5E61" w:rsidRDefault="002E79E3" w:rsidP="000477A3">
            <w:pPr>
              <w:rPr>
                <w:rFonts w:ascii="Arial" w:hAnsi="Arial" w:cs="Arial"/>
                <w:b/>
              </w:rPr>
            </w:pPr>
            <w:proofErr w:type="gramStart"/>
            <w:r w:rsidRPr="00BA5E61">
              <w:rPr>
                <w:rFonts w:ascii="Arial" w:hAnsi="Arial" w:cs="Arial"/>
                <w:b/>
                <w:sz w:val="22"/>
                <w:szCs w:val="22"/>
              </w:rPr>
              <w:t>Completion  date</w:t>
            </w:r>
            <w:proofErr w:type="gramEnd"/>
          </w:p>
          <w:p w14:paraId="08611056" w14:textId="77777777" w:rsidR="002E79E3" w:rsidRPr="00BA5E61" w:rsidRDefault="002E79E3" w:rsidP="000477A3">
            <w:pPr>
              <w:rPr>
                <w:rFonts w:ascii="Arial" w:hAnsi="Arial" w:cs="Arial"/>
                <w:b/>
              </w:rPr>
            </w:pPr>
          </w:p>
        </w:tc>
        <w:tc>
          <w:tcPr>
            <w:tcW w:w="7162" w:type="dxa"/>
          </w:tcPr>
          <w:p w14:paraId="08611057" w14:textId="0BD19F4F" w:rsidR="002E79E3" w:rsidRPr="00BA5E61" w:rsidRDefault="00FC6565" w:rsidP="00FC6565">
            <w:pPr>
              <w:rPr>
                <w:rFonts w:ascii="Arial" w:hAnsi="Arial" w:cs="Arial"/>
                <w:b/>
              </w:rPr>
            </w:pPr>
            <w:r w:rsidRPr="00FC6565">
              <w:rPr>
                <w:rFonts w:ascii="Arial" w:hAnsi="Arial" w:cs="Arial"/>
                <w:b/>
              </w:rPr>
              <w:t>31 March 2023</w:t>
            </w:r>
          </w:p>
        </w:tc>
      </w:tr>
      <w:tr w:rsidR="002E79E3" w:rsidRPr="00BA5E61" w14:paraId="0861105D" w14:textId="77777777" w:rsidTr="00BA5E61">
        <w:trPr>
          <w:cantSplit/>
        </w:trPr>
        <w:tc>
          <w:tcPr>
            <w:tcW w:w="2302" w:type="dxa"/>
          </w:tcPr>
          <w:p w14:paraId="08611059" w14:textId="77777777" w:rsidR="002E79E3" w:rsidRPr="00BA5E61" w:rsidRDefault="002E79E3" w:rsidP="000477A3">
            <w:pPr>
              <w:rPr>
                <w:rFonts w:ascii="Arial" w:hAnsi="Arial" w:cs="Arial"/>
                <w:b/>
                <w:szCs w:val="22"/>
              </w:rPr>
            </w:pPr>
            <w:r w:rsidRPr="00BA5E61">
              <w:rPr>
                <w:rFonts w:ascii="Arial" w:hAnsi="Arial" w:cs="Arial"/>
                <w:b/>
                <w:sz w:val="22"/>
                <w:szCs w:val="22"/>
              </w:rPr>
              <w:t>PPE Due Date</w:t>
            </w:r>
          </w:p>
          <w:p w14:paraId="0861105A" w14:textId="77777777" w:rsidR="002E79E3" w:rsidRPr="00BA5E61" w:rsidRDefault="002E79E3" w:rsidP="000477A3">
            <w:pPr>
              <w:rPr>
                <w:rFonts w:ascii="Arial" w:hAnsi="Arial" w:cs="Arial"/>
                <w:b/>
                <w:szCs w:val="22"/>
              </w:rPr>
            </w:pPr>
            <w:r w:rsidRPr="00BA5E61">
              <w:rPr>
                <w:rFonts w:ascii="Arial" w:hAnsi="Arial" w:cs="Arial"/>
                <w:b/>
                <w:sz w:val="22"/>
                <w:szCs w:val="22"/>
              </w:rPr>
              <w:t>(Per associated Business case)</w:t>
            </w:r>
          </w:p>
          <w:p w14:paraId="0861105B" w14:textId="77777777" w:rsidR="00BA5E61" w:rsidRPr="00BA5E61" w:rsidRDefault="00BA5E61" w:rsidP="000477A3">
            <w:pPr>
              <w:rPr>
                <w:rFonts w:ascii="Arial" w:hAnsi="Arial" w:cs="Arial"/>
                <w:b/>
                <w:szCs w:val="22"/>
              </w:rPr>
            </w:pPr>
          </w:p>
        </w:tc>
        <w:tc>
          <w:tcPr>
            <w:tcW w:w="7162" w:type="dxa"/>
          </w:tcPr>
          <w:p w14:paraId="0861105C" w14:textId="0014CA73" w:rsidR="00BA5E61" w:rsidRPr="00BA5E61" w:rsidRDefault="00FC6565" w:rsidP="00FC6565">
            <w:pPr>
              <w:rPr>
                <w:rFonts w:ascii="Arial" w:hAnsi="Arial" w:cs="Arial"/>
                <w:b/>
              </w:rPr>
            </w:pPr>
            <w:r w:rsidRPr="00FC6565">
              <w:rPr>
                <w:rFonts w:ascii="Arial" w:hAnsi="Arial" w:cs="Arial"/>
                <w:b/>
              </w:rPr>
              <w:t>Asap - Required to progress business case for 2023.24</w:t>
            </w:r>
          </w:p>
        </w:tc>
      </w:tr>
      <w:tr w:rsidR="002E79E3" w:rsidRPr="00BA5E61" w14:paraId="08611062" w14:textId="77777777" w:rsidTr="00BA5E61">
        <w:trPr>
          <w:cantSplit/>
        </w:trPr>
        <w:tc>
          <w:tcPr>
            <w:tcW w:w="2302" w:type="dxa"/>
          </w:tcPr>
          <w:p w14:paraId="0861105E" w14:textId="77777777" w:rsidR="00BA5E61" w:rsidRDefault="002E79E3" w:rsidP="000477A3">
            <w:pPr>
              <w:rPr>
                <w:rFonts w:ascii="Arial" w:hAnsi="Arial" w:cs="Arial"/>
                <w:b/>
                <w:szCs w:val="22"/>
              </w:rPr>
            </w:pPr>
            <w:r w:rsidRPr="00BA5E61">
              <w:rPr>
                <w:rFonts w:ascii="Arial" w:hAnsi="Arial" w:cs="Arial"/>
                <w:b/>
                <w:sz w:val="22"/>
                <w:szCs w:val="22"/>
              </w:rPr>
              <w:t>PPE Completed by</w:t>
            </w:r>
          </w:p>
          <w:p w14:paraId="0861105F" w14:textId="77777777" w:rsidR="00BA5E61" w:rsidRPr="00BA5E61" w:rsidRDefault="00BA5E61" w:rsidP="00BA5E61">
            <w:pPr>
              <w:rPr>
                <w:rFonts w:ascii="Arial" w:hAnsi="Arial" w:cs="Arial"/>
                <w:szCs w:val="22"/>
              </w:rPr>
            </w:pPr>
          </w:p>
        </w:tc>
        <w:tc>
          <w:tcPr>
            <w:tcW w:w="7162" w:type="dxa"/>
          </w:tcPr>
          <w:p w14:paraId="08611060" w14:textId="52C2819D" w:rsidR="002E79E3" w:rsidRDefault="00FC6565" w:rsidP="00BA5E61">
            <w:pPr>
              <w:rPr>
                <w:rFonts w:ascii="Arial" w:hAnsi="Arial" w:cs="Arial"/>
                <w:b/>
              </w:rPr>
            </w:pPr>
            <w:r>
              <w:rPr>
                <w:rFonts w:ascii="Arial" w:hAnsi="Arial" w:cs="Arial"/>
                <w:b/>
              </w:rPr>
              <w:t>Diane McKillen, Project Manager</w:t>
            </w:r>
          </w:p>
          <w:p w14:paraId="08611061" w14:textId="77777777" w:rsidR="00BA5E61" w:rsidRPr="00BA5E61" w:rsidRDefault="00BA5E61" w:rsidP="00BA5E61">
            <w:pPr>
              <w:rPr>
                <w:rFonts w:ascii="Arial" w:hAnsi="Arial" w:cs="Arial"/>
                <w:b/>
              </w:rPr>
            </w:pPr>
          </w:p>
        </w:tc>
      </w:tr>
      <w:tr w:rsidR="002E79E3" w:rsidRPr="00BA5E61" w14:paraId="08611067" w14:textId="77777777" w:rsidTr="00BA5E61">
        <w:trPr>
          <w:cantSplit/>
        </w:trPr>
        <w:tc>
          <w:tcPr>
            <w:tcW w:w="2302" w:type="dxa"/>
          </w:tcPr>
          <w:p w14:paraId="08611063" w14:textId="77777777" w:rsidR="002E79E3" w:rsidRPr="00BA5E61" w:rsidRDefault="002E79E3" w:rsidP="000477A3">
            <w:pPr>
              <w:rPr>
                <w:rFonts w:ascii="Arial" w:hAnsi="Arial" w:cs="Arial"/>
                <w:b/>
                <w:szCs w:val="22"/>
              </w:rPr>
            </w:pPr>
            <w:r w:rsidRPr="00BA5E61">
              <w:rPr>
                <w:rFonts w:ascii="Arial" w:hAnsi="Arial" w:cs="Arial"/>
                <w:b/>
                <w:sz w:val="22"/>
                <w:szCs w:val="22"/>
              </w:rPr>
              <w:t>Signature and date</w:t>
            </w:r>
          </w:p>
        </w:tc>
        <w:tc>
          <w:tcPr>
            <w:tcW w:w="7162" w:type="dxa"/>
          </w:tcPr>
          <w:p w14:paraId="08611065" w14:textId="40CBA19D" w:rsidR="002E79E3" w:rsidRPr="00BA5E61" w:rsidRDefault="00FC6565" w:rsidP="000477A3">
            <w:pPr>
              <w:rPr>
                <w:rFonts w:ascii="Arial" w:hAnsi="Arial" w:cs="Arial"/>
                <w:b/>
              </w:rPr>
            </w:pPr>
            <w:r>
              <w:rPr>
                <w:rFonts w:ascii="Arial" w:hAnsi="Arial" w:cs="Arial"/>
                <w:b/>
              </w:rPr>
              <w:t>Diane McKillen</w:t>
            </w:r>
            <w:proofErr w:type="gramStart"/>
            <w:r w:rsidR="00EE407A">
              <w:rPr>
                <w:rFonts w:ascii="Arial" w:hAnsi="Arial" w:cs="Arial"/>
                <w:b/>
              </w:rPr>
              <w:t>,</w:t>
            </w:r>
            <w:r>
              <w:rPr>
                <w:rFonts w:ascii="Arial" w:hAnsi="Arial" w:cs="Arial"/>
                <w:b/>
              </w:rPr>
              <w:t xml:space="preserve">  24.3.23</w:t>
            </w:r>
            <w:proofErr w:type="gramEnd"/>
          </w:p>
          <w:p w14:paraId="08611066" w14:textId="77777777" w:rsidR="002E79E3" w:rsidRPr="00BA5E61" w:rsidRDefault="002E79E3" w:rsidP="000477A3">
            <w:pPr>
              <w:rPr>
                <w:rFonts w:ascii="Arial" w:hAnsi="Arial" w:cs="Arial"/>
                <w:b/>
              </w:rPr>
            </w:pPr>
          </w:p>
        </w:tc>
      </w:tr>
    </w:tbl>
    <w:p w14:paraId="08611068" w14:textId="77777777" w:rsidR="002E79E3" w:rsidRPr="00BA5E61" w:rsidRDefault="002E79E3" w:rsidP="002E79E3">
      <w:pPr>
        <w:ind w:left="-284"/>
        <w:rPr>
          <w:rFonts w:ascii="Arial" w:hAnsi="Arial" w:cs="Arial"/>
          <w:b/>
          <w:sz w:val="22"/>
          <w:szCs w:val="22"/>
        </w:rPr>
      </w:pPr>
      <w:r w:rsidRPr="00BA5E61">
        <w:rPr>
          <w:rFonts w:ascii="Arial" w:hAnsi="Arial" w:cs="Arial"/>
          <w:b/>
          <w:sz w:val="22"/>
          <w:szCs w:val="22"/>
        </w:rPr>
        <w:t xml:space="preserve">SECTION 1: INTRODUCTION </w:t>
      </w:r>
    </w:p>
    <w:tbl>
      <w:tblPr>
        <w:tblpPr w:leftFromText="180" w:rightFromText="180" w:vertAnchor="text" w:horzAnchor="margin" w:tblpX="-176" w:tblpY="84"/>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8"/>
      </w:tblGrid>
      <w:tr w:rsidR="002E79E3" w:rsidRPr="00BA5E61" w14:paraId="0861106B" w14:textId="77777777" w:rsidTr="00BA5E61">
        <w:trPr>
          <w:trHeight w:val="551"/>
        </w:trPr>
        <w:tc>
          <w:tcPr>
            <w:tcW w:w="9598" w:type="dxa"/>
            <w:shd w:val="clear" w:color="auto" w:fill="D9D9D9"/>
          </w:tcPr>
          <w:p w14:paraId="08611069" w14:textId="77777777" w:rsidR="00BA5E61" w:rsidRDefault="002E79E3" w:rsidP="000477A3">
            <w:pPr>
              <w:pStyle w:val="OPM-text"/>
              <w:rPr>
                <w:rFonts w:cs="Arial"/>
                <w:szCs w:val="22"/>
              </w:rPr>
            </w:pPr>
            <w:r w:rsidRPr="00BA5E61">
              <w:rPr>
                <w:rFonts w:cs="Arial"/>
                <w:sz w:val="22"/>
                <w:szCs w:val="22"/>
              </w:rPr>
              <w:t xml:space="preserve">Background (a brief description of the project and its objectives) </w:t>
            </w:r>
          </w:p>
          <w:p w14:paraId="0861106A" w14:textId="77777777" w:rsidR="00BA5E61" w:rsidRPr="00BA5E61" w:rsidRDefault="00BA5E61" w:rsidP="00BA5E61">
            <w:pPr>
              <w:rPr>
                <w:lang w:eastAsia="en-GB"/>
              </w:rPr>
            </w:pPr>
          </w:p>
        </w:tc>
      </w:tr>
      <w:tr w:rsidR="002E79E3" w:rsidRPr="00BA5E61" w14:paraId="0861106D" w14:textId="77777777" w:rsidTr="00BA5E61">
        <w:trPr>
          <w:trHeight w:val="1275"/>
        </w:trPr>
        <w:tc>
          <w:tcPr>
            <w:tcW w:w="9598" w:type="dxa"/>
          </w:tcPr>
          <w:p w14:paraId="2B1FB889" w14:textId="77777777" w:rsidR="002E79E3" w:rsidRPr="00D8338A" w:rsidRDefault="002E79E3" w:rsidP="00BA5E61">
            <w:pPr>
              <w:spacing w:line="276" w:lineRule="auto"/>
              <w:rPr>
                <w:rFonts w:ascii="Arial" w:hAnsi="Arial" w:cs="Arial"/>
                <w:b/>
                <w:szCs w:val="24"/>
              </w:rPr>
            </w:pPr>
            <w:r w:rsidRPr="00D8338A">
              <w:rPr>
                <w:rFonts w:ascii="Arial" w:hAnsi="Arial" w:cs="Arial"/>
                <w:b/>
                <w:szCs w:val="24"/>
              </w:rPr>
              <w:t>[expand as appropriate]</w:t>
            </w:r>
          </w:p>
          <w:p w14:paraId="79026BFF" w14:textId="77777777" w:rsidR="00FC6565" w:rsidRPr="00D8338A" w:rsidRDefault="00FC6565" w:rsidP="00BA5E61">
            <w:pPr>
              <w:spacing w:line="276" w:lineRule="auto"/>
              <w:rPr>
                <w:rFonts w:ascii="Arial" w:hAnsi="Arial" w:cs="Arial"/>
                <w:szCs w:val="24"/>
              </w:rPr>
            </w:pPr>
          </w:p>
          <w:p w14:paraId="47B28CF6"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 xml:space="preserve">Since it was first implemented in October 2017 the aim of the Oral Surgery PDS Pilot has been to sustain a service to patients who require oral surgery at a level of complexity that is beyond the competency of their general dentist but is not sufficiently complex to require referral to secondary care. </w:t>
            </w:r>
          </w:p>
          <w:p w14:paraId="27D691EF"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 xml:space="preserve">Long before pilot implementation this service has been delivered within Primary Care by </w:t>
            </w:r>
            <w:proofErr w:type="gramStart"/>
            <w:r w:rsidRPr="00D8338A">
              <w:rPr>
                <w:rFonts w:ascii="Arial" w:hAnsi="Arial" w:cs="Arial"/>
                <w:szCs w:val="24"/>
              </w:rPr>
              <w:t>6  High</w:t>
            </w:r>
            <w:proofErr w:type="gramEnd"/>
            <w:r w:rsidRPr="00D8338A">
              <w:rPr>
                <w:rFonts w:ascii="Arial" w:hAnsi="Arial" w:cs="Arial"/>
                <w:szCs w:val="24"/>
              </w:rPr>
              <w:t xml:space="preserve"> Street Oral Surgery (HSOS) practices. General Dental Practitioners (GDPs) refer patient to these practices where they are treated by a mix of specialist and non-specialist oral surgeons. However, HSOS capacity is constrained by a shortage of oral surgeons.</w:t>
            </w:r>
          </w:p>
          <w:p w14:paraId="6DA94C1F"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 xml:space="preserve"> In 2016/17 the 6 HSOS practices treated a total of 11,869 unique patients at a cost to the GDS budget of approx. £1.1million. This volume represented an activity decline of 30% since 2013/14. The decline was attributed largely to non-viable remuneration arrangements for the HSOSs and a move to them treating more private patients. The activity decline resulted in the following: </w:t>
            </w:r>
          </w:p>
          <w:p w14:paraId="12DA3A59"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w:t>
            </w:r>
            <w:r w:rsidRPr="00D8338A">
              <w:rPr>
                <w:rFonts w:ascii="Arial" w:hAnsi="Arial" w:cs="Arial"/>
                <w:szCs w:val="24"/>
              </w:rPr>
              <w:tab/>
              <w:t>Increased HSOS waiting lists and waiting times of approx. 6 months.</w:t>
            </w:r>
          </w:p>
          <w:p w14:paraId="58FD3030"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w:t>
            </w:r>
            <w:r w:rsidRPr="00D8338A">
              <w:rPr>
                <w:rFonts w:ascii="Arial" w:hAnsi="Arial" w:cs="Arial"/>
                <w:szCs w:val="24"/>
              </w:rPr>
              <w:tab/>
              <w:t>Increased demand on hospital Outpatient Oral Surgery services where numbers waiting were already in excess of 8,000 patients with many of these for more than 52 weeks.</w:t>
            </w:r>
          </w:p>
          <w:p w14:paraId="042E82B3"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w:t>
            </w:r>
            <w:r w:rsidRPr="00D8338A">
              <w:rPr>
                <w:rFonts w:ascii="Arial" w:hAnsi="Arial" w:cs="Arial"/>
                <w:szCs w:val="24"/>
              </w:rPr>
              <w:tab/>
              <w:t xml:space="preserve">Inappropriate GDP referrals – low complexity patients suitable for treatment in HSOS but referred to hospital due to access issues. </w:t>
            </w:r>
          </w:p>
          <w:p w14:paraId="0758B7AA" w14:textId="43FC5287" w:rsidR="00FC6565" w:rsidRPr="00D8338A" w:rsidRDefault="00FC6565" w:rsidP="00FC6565">
            <w:pPr>
              <w:spacing w:line="276" w:lineRule="auto"/>
              <w:rPr>
                <w:rFonts w:ascii="Arial" w:hAnsi="Arial" w:cs="Arial"/>
                <w:szCs w:val="24"/>
              </w:rPr>
            </w:pPr>
            <w:r w:rsidRPr="00D8338A">
              <w:rPr>
                <w:rFonts w:ascii="Arial" w:hAnsi="Arial" w:cs="Arial"/>
                <w:szCs w:val="24"/>
              </w:rPr>
              <w:lastRenderedPageBreak/>
              <w:t>•</w:t>
            </w:r>
            <w:r w:rsidRPr="00D8338A">
              <w:rPr>
                <w:rFonts w:ascii="Arial" w:hAnsi="Arial" w:cs="Arial"/>
                <w:szCs w:val="24"/>
              </w:rPr>
              <w:tab/>
              <w:t xml:space="preserve">Financial inefficiencies – Oral Surgery patients seen in a hospital setting cost </w:t>
            </w:r>
            <w:r w:rsidR="00D8338A" w:rsidRPr="00D8338A">
              <w:rPr>
                <w:rFonts w:ascii="Arial" w:hAnsi="Arial" w:cs="Arial"/>
                <w:szCs w:val="24"/>
              </w:rPr>
              <w:t>multiple</w:t>
            </w:r>
            <w:r w:rsidRPr="00D8338A">
              <w:rPr>
                <w:rFonts w:ascii="Arial" w:hAnsi="Arial" w:cs="Arial"/>
                <w:szCs w:val="24"/>
              </w:rPr>
              <w:t xml:space="preserve"> times more than in an HSOS setting (an average patient cost of £90 in Primary Care compared to £</w:t>
            </w:r>
            <w:r w:rsidR="00D8338A" w:rsidRPr="00D8338A">
              <w:rPr>
                <w:rFonts w:ascii="Arial" w:hAnsi="Arial" w:cs="Arial"/>
                <w:szCs w:val="24"/>
              </w:rPr>
              <w:t>521.94</w:t>
            </w:r>
            <w:r w:rsidRPr="00D8338A">
              <w:rPr>
                <w:rFonts w:ascii="Arial" w:hAnsi="Arial" w:cs="Arial"/>
                <w:szCs w:val="24"/>
              </w:rPr>
              <w:t xml:space="preserve"> in Secondary Care).</w:t>
            </w:r>
          </w:p>
          <w:p w14:paraId="718AB5CB"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w:t>
            </w:r>
            <w:r w:rsidRPr="00D8338A">
              <w:rPr>
                <w:rFonts w:ascii="Arial" w:hAnsi="Arial" w:cs="Arial"/>
                <w:szCs w:val="24"/>
              </w:rPr>
              <w:tab/>
              <w:t>Sub-optimal use of hospital resources which should only be used to treat the most complex cases.</w:t>
            </w:r>
          </w:p>
          <w:p w14:paraId="716D200F" w14:textId="77777777" w:rsidR="00FC6565" w:rsidRPr="00D8338A" w:rsidRDefault="00FC6565" w:rsidP="00FC6565">
            <w:pPr>
              <w:spacing w:line="276" w:lineRule="auto"/>
              <w:rPr>
                <w:rFonts w:ascii="Arial" w:hAnsi="Arial" w:cs="Arial"/>
                <w:szCs w:val="24"/>
              </w:rPr>
            </w:pPr>
          </w:p>
          <w:p w14:paraId="0273CE46"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Pilot Evaluation Prior to Covid-19</w:t>
            </w:r>
          </w:p>
          <w:p w14:paraId="2FBCF96B" w14:textId="77777777" w:rsidR="00FC6565" w:rsidRPr="00D8338A" w:rsidRDefault="00FC6565" w:rsidP="00FC6565">
            <w:pPr>
              <w:spacing w:line="276" w:lineRule="auto"/>
              <w:rPr>
                <w:rFonts w:ascii="Arial" w:hAnsi="Arial" w:cs="Arial"/>
                <w:szCs w:val="24"/>
              </w:rPr>
            </w:pPr>
          </w:p>
          <w:p w14:paraId="7FB95B3B"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2019/20 evaluation of the pilot demonstrated that from the outset in October 2017 the pilot had successfully met its objectives resulting in a range of positive outcomes:</w:t>
            </w:r>
          </w:p>
          <w:p w14:paraId="04EDE3B8"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w:t>
            </w:r>
            <w:r w:rsidRPr="00D8338A">
              <w:rPr>
                <w:rFonts w:ascii="Arial" w:hAnsi="Arial" w:cs="Arial"/>
                <w:szCs w:val="24"/>
              </w:rPr>
              <w:tab/>
              <w:t>Increased activity within Primary Care across NI (currently by more than 30%).</w:t>
            </w:r>
          </w:p>
          <w:p w14:paraId="3545B1EE"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w:t>
            </w:r>
            <w:r w:rsidRPr="00D8338A">
              <w:rPr>
                <w:rFonts w:ascii="Arial" w:hAnsi="Arial" w:cs="Arial"/>
                <w:szCs w:val="24"/>
              </w:rPr>
              <w:tab/>
              <w:t>A wider and more consistent range of level 2 treatments being provided.</w:t>
            </w:r>
          </w:p>
          <w:p w14:paraId="4DC7D81E"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w:t>
            </w:r>
            <w:r w:rsidRPr="00D8338A">
              <w:rPr>
                <w:rFonts w:ascii="Arial" w:hAnsi="Arial" w:cs="Arial"/>
                <w:szCs w:val="24"/>
              </w:rPr>
              <w:tab/>
              <w:t xml:space="preserve">HSOS waiting times of 8-10 weeks instead of 6-8 months. </w:t>
            </w:r>
          </w:p>
          <w:p w14:paraId="06BADCE1"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w:t>
            </w:r>
            <w:r w:rsidRPr="00D8338A">
              <w:rPr>
                <w:rFonts w:ascii="Arial" w:hAnsi="Arial" w:cs="Arial"/>
                <w:szCs w:val="24"/>
              </w:rPr>
              <w:tab/>
              <w:t>Re-referral by GDPs to HSOS practices of patients waiting on long Trust waiting lists.</w:t>
            </w:r>
          </w:p>
          <w:p w14:paraId="49B85F62"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w:t>
            </w:r>
            <w:r w:rsidRPr="00D8338A">
              <w:rPr>
                <w:rFonts w:ascii="Arial" w:hAnsi="Arial" w:cs="Arial"/>
                <w:szCs w:val="24"/>
              </w:rPr>
              <w:tab/>
              <w:t xml:space="preserve">Patients are less likely to be waiting in pain for treatment and are less at risk of serious oral health deterioration during this time. </w:t>
            </w:r>
          </w:p>
          <w:p w14:paraId="412FFC8E"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w:t>
            </w:r>
            <w:r w:rsidRPr="00D8338A">
              <w:rPr>
                <w:rFonts w:ascii="Arial" w:hAnsi="Arial" w:cs="Arial"/>
                <w:szCs w:val="24"/>
              </w:rPr>
              <w:tab/>
              <w:t>A reduction in GDP referrals to secondary care of approximately 23%.</w:t>
            </w:r>
          </w:p>
          <w:p w14:paraId="68F8B823"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w:t>
            </w:r>
            <w:r w:rsidRPr="00D8338A">
              <w:rPr>
                <w:rFonts w:ascii="Arial" w:hAnsi="Arial" w:cs="Arial"/>
                <w:szCs w:val="24"/>
              </w:rPr>
              <w:tab/>
              <w:t>Positive feedback from patients, GDPs, the BDA and from Trusts.</w:t>
            </w:r>
          </w:p>
          <w:p w14:paraId="28BD0DC7"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w:t>
            </w:r>
            <w:r w:rsidRPr="00D8338A">
              <w:rPr>
                <w:rFonts w:ascii="Arial" w:hAnsi="Arial" w:cs="Arial"/>
                <w:szCs w:val="24"/>
              </w:rPr>
              <w:tab/>
              <w:t>Much lower treatment costs than in secondary care.</w:t>
            </w:r>
          </w:p>
          <w:p w14:paraId="77C656D1"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w:t>
            </w:r>
            <w:r w:rsidRPr="00D8338A">
              <w:rPr>
                <w:rFonts w:ascii="Arial" w:hAnsi="Arial" w:cs="Arial"/>
                <w:szCs w:val="24"/>
              </w:rPr>
              <w:tab/>
              <w:t>Trust resources can be better utilised on treating the most complex cases.</w:t>
            </w:r>
          </w:p>
          <w:p w14:paraId="0EFD93BA"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w:t>
            </w:r>
            <w:r w:rsidRPr="00D8338A">
              <w:rPr>
                <w:rFonts w:ascii="Arial" w:hAnsi="Arial" w:cs="Arial"/>
                <w:szCs w:val="24"/>
              </w:rPr>
              <w:tab/>
              <w:t xml:space="preserve">The remuneration model can be easily adjusted to reflect patient demand and provider capacity, provides greater budgetary control for the commissioner and spend can be accurately predicted. </w:t>
            </w:r>
          </w:p>
          <w:p w14:paraId="31190D87" w14:textId="77777777" w:rsidR="00FC6565" w:rsidRPr="00D8338A" w:rsidRDefault="00FC6565" w:rsidP="00FC6565">
            <w:pPr>
              <w:spacing w:line="276" w:lineRule="auto"/>
              <w:rPr>
                <w:rFonts w:ascii="Arial" w:hAnsi="Arial" w:cs="Arial"/>
                <w:szCs w:val="24"/>
              </w:rPr>
            </w:pPr>
          </w:p>
          <w:p w14:paraId="2928CE69"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In view of the positive outcomes the sustainability of the HSOS service was seen as essential and to reflect this view, as part of a rebasing exercise in 2020/21, DOH allocated a recurrent £700k as part of the GDS budget to the Oral Surgery PDS Scheme</w:t>
            </w:r>
          </w:p>
          <w:p w14:paraId="1D8347DF" w14:textId="77777777" w:rsidR="00FC6565" w:rsidRPr="00D8338A" w:rsidRDefault="00FC6565" w:rsidP="00FC6565">
            <w:pPr>
              <w:spacing w:line="276" w:lineRule="auto"/>
              <w:rPr>
                <w:rFonts w:ascii="Arial" w:hAnsi="Arial" w:cs="Arial"/>
                <w:szCs w:val="24"/>
              </w:rPr>
            </w:pPr>
          </w:p>
          <w:p w14:paraId="5068F28E"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 xml:space="preserve">During the 2020/21 pilot period the Covid 19 pandemic had a severe impact on Oral Surgery. In 2020/21 activity was only 25% of that in the previous year (3971 patients treated in 2020/21 compared to 16,087 in 2019/20).  However, it was acknowledged that without the pilot the only options for the thousands of patients on the Oral Surgery waiting lists were either to pay privately (which many cannot afford) or be added to secondary care waiting lists. Hospital oral surgery services have also been significantly impacted by the pandemic restrictions and do not have the capacity to treat these patients.  To prevent an access issue for patients and longer hospital waiting lists a business case was therefore approved for 2021/22. </w:t>
            </w:r>
          </w:p>
          <w:p w14:paraId="652E026E"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 xml:space="preserve">Beyond March 2022 the intention was to implement a three-year Oral Surgery scheme. This would address complaints from HSOS practices that a 12-month contract did not provide them with the certainty they required to plan their business and made it difficult to recruit pilot performers. DoH indicated support for this move. However, given the </w:t>
            </w:r>
            <w:r w:rsidRPr="00D8338A">
              <w:rPr>
                <w:rFonts w:ascii="Arial" w:hAnsi="Arial" w:cs="Arial"/>
                <w:szCs w:val="24"/>
              </w:rPr>
              <w:lastRenderedPageBreak/>
              <w:t xml:space="preserve">uncertainty of the market as a result of the pandemic it was considered prudent to delay this for a further 12 months until April 2023. </w:t>
            </w:r>
          </w:p>
          <w:p w14:paraId="312035CA" w14:textId="77777777" w:rsidR="00FC6565" w:rsidRPr="00D8338A" w:rsidRDefault="00FC6565" w:rsidP="00FC6565">
            <w:pPr>
              <w:spacing w:line="276" w:lineRule="auto"/>
              <w:rPr>
                <w:rFonts w:ascii="Arial" w:hAnsi="Arial" w:cs="Arial"/>
                <w:szCs w:val="24"/>
              </w:rPr>
            </w:pPr>
            <w:r w:rsidRPr="00D8338A">
              <w:rPr>
                <w:rFonts w:ascii="Arial" w:hAnsi="Arial" w:cs="Arial"/>
                <w:szCs w:val="24"/>
              </w:rPr>
              <w:t xml:space="preserve">The IPT for 2022/23 sought approval to spend £778k of recurrent funding on an extension of the existing Oral Surgery PDS Pilot for a further 12-month period from 1.4.22 until 31.3.23, ideally with a three-year scheme to follow from 1 April 2023. Costs were calculated at an increased per capita specialist allowance fee of £80 per patient subject to achievement by the practice of agreed patient volumes by year end (equating to approximately £169 per patient including SDR treatment fees which do not form part of the pilot and the business case).  </w:t>
            </w:r>
          </w:p>
          <w:p w14:paraId="0861106C" w14:textId="3BBC5B94" w:rsidR="00FC6565" w:rsidRPr="00D8338A" w:rsidRDefault="00FC6565" w:rsidP="00FC6565">
            <w:pPr>
              <w:spacing w:line="276" w:lineRule="auto"/>
              <w:rPr>
                <w:rFonts w:ascii="Arial" w:hAnsi="Arial" w:cs="Arial"/>
                <w:szCs w:val="24"/>
              </w:rPr>
            </w:pPr>
            <w:r w:rsidRPr="00D8338A">
              <w:rPr>
                <w:rFonts w:ascii="Arial" w:hAnsi="Arial" w:cs="Arial"/>
                <w:szCs w:val="24"/>
              </w:rPr>
              <w:t>An expression of interest was also to run in April 2022 to try to attract new specialist oral surgery practices to the scheme.</w:t>
            </w:r>
          </w:p>
        </w:tc>
      </w:tr>
      <w:tr w:rsidR="002E79E3" w:rsidRPr="00BA5E61" w14:paraId="0861106F" w14:textId="77777777" w:rsidTr="00BA5E61">
        <w:trPr>
          <w:trHeight w:val="872"/>
        </w:trPr>
        <w:tc>
          <w:tcPr>
            <w:tcW w:w="9598" w:type="dxa"/>
            <w:tcBorders>
              <w:top w:val="single" w:sz="4" w:space="0" w:color="auto"/>
              <w:left w:val="single" w:sz="4" w:space="0" w:color="auto"/>
              <w:bottom w:val="single" w:sz="4" w:space="0" w:color="auto"/>
              <w:right w:val="single" w:sz="4" w:space="0" w:color="auto"/>
            </w:tcBorders>
            <w:shd w:val="clear" w:color="auto" w:fill="D9D9D9"/>
          </w:tcPr>
          <w:p w14:paraId="0861106E" w14:textId="77777777" w:rsidR="002E79E3" w:rsidRPr="00BA5E61" w:rsidRDefault="002E79E3" w:rsidP="000477A3">
            <w:pPr>
              <w:spacing w:line="276" w:lineRule="auto"/>
              <w:rPr>
                <w:rFonts w:ascii="Arial" w:hAnsi="Arial" w:cs="Arial"/>
              </w:rPr>
            </w:pPr>
            <w:r w:rsidRPr="00BA5E61">
              <w:rPr>
                <w:rFonts w:ascii="Arial" w:hAnsi="Arial" w:cs="Arial"/>
                <w:sz w:val="22"/>
                <w:szCs w:val="22"/>
              </w:rPr>
              <w:lastRenderedPageBreak/>
              <w:t>Please give details of commencement of scheme, when staff were appointed and when full capacity was achieved.</w:t>
            </w:r>
          </w:p>
        </w:tc>
      </w:tr>
      <w:tr w:rsidR="002E79E3" w:rsidRPr="00BA5E61" w14:paraId="08611071" w14:textId="77777777" w:rsidTr="00BA5E61">
        <w:trPr>
          <w:trHeight w:val="1377"/>
        </w:trPr>
        <w:tc>
          <w:tcPr>
            <w:tcW w:w="9598" w:type="dxa"/>
            <w:tcBorders>
              <w:top w:val="single" w:sz="4" w:space="0" w:color="auto"/>
              <w:left w:val="single" w:sz="4" w:space="0" w:color="auto"/>
              <w:bottom w:val="single" w:sz="4" w:space="0" w:color="auto"/>
              <w:right w:val="single" w:sz="4" w:space="0" w:color="auto"/>
            </w:tcBorders>
          </w:tcPr>
          <w:p w14:paraId="023F8969" w14:textId="77777777" w:rsidR="002E79E3" w:rsidRDefault="002E79E3" w:rsidP="00BA5E61">
            <w:pPr>
              <w:spacing w:line="276" w:lineRule="auto"/>
              <w:rPr>
                <w:rFonts w:ascii="Arial" w:hAnsi="Arial" w:cs="Arial"/>
                <w:b/>
                <w:sz w:val="20"/>
              </w:rPr>
            </w:pPr>
            <w:r w:rsidRPr="00BA5E61">
              <w:rPr>
                <w:rFonts w:ascii="Arial" w:hAnsi="Arial" w:cs="Arial"/>
                <w:b/>
                <w:sz w:val="20"/>
              </w:rPr>
              <w:t>[expand as appropriate]</w:t>
            </w:r>
          </w:p>
          <w:p w14:paraId="1081A35C" w14:textId="77777777" w:rsidR="00FC6565" w:rsidRDefault="00FC6565" w:rsidP="00BA5E61">
            <w:pPr>
              <w:spacing w:line="276" w:lineRule="auto"/>
              <w:rPr>
                <w:rFonts w:ascii="Arial" w:hAnsi="Arial" w:cs="Arial"/>
                <w:sz w:val="20"/>
              </w:rPr>
            </w:pPr>
          </w:p>
          <w:p w14:paraId="3D7D8A4A" w14:textId="77777777" w:rsidR="00FC6565" w:rsidRPr="00D8338A" w:rsidRDefault="00FC6565" w:rsidP="00BA5E61">
            <w:pPr>
              <w:spacing w:line="276" w:lineRule="auto"/>
              <w:rPr>
                <w:rFonts w:ascii="Arial" w:hAnsi="Arial" w:cs="Arial"/>
                <w:szCs w:val="24"/>
              </w:rPr>
            </w:pPr>
            <w:r w:rsidRPr="00D8338A">
              <w:rPr>
                <w:rFonts w:ascii="Arial" w:hAnsi="Arial" w:cs="Arial"/>
                <w:szCs w:val="24"/>
              </w:rPr>
              <w:t xml:space="preserve">The </w:t>
            </w:r>
            <w:r w:rsidR="006F0B94" w:rsidRPr="00D8338A">
              <w:rPr>
                <w:rFonts w:ascii="Arial" w:hAnsi="Arial" w:cs="Arial"/>
                <w:szCs w:val="24"/>
              </w:rPr>
              <w:t>PDS Pilot scheme for Oral surgery has been in operation since October 17 and has had a number of extensions with no break in service. The current phase runs from 1 April 2022 to 31 March 2023.</w:t>
            </w:r>
          </w:p>
          <w:p w14:paraId="69D4B892" w14:textId="77777777" w:rsidR="006F0B94" w:rsidRPr="00D8338A" w:rsidRDefault="006F0B94" w:rsidP="00BA5E61">
            <w:pPr>
              <w:spacing w:line="276" w:lineRule="auto"/>
              <w:rPr>
                <w:rFonts w:ascii="Arial" w:hAnsi="Arial" w:cs="Arial"/>
                <w:szCs w:val="24"/>
              </w:rPr>
            </w:pPr>
          </w:p>
          <w:p w14:paraId="16F14F5C" w14:textId="5B692702" w:rsidR="006F0B94" w:rsidRPr="00D8338A" w:rsidRDefault="006F0B94" w:rsidP="00BA5E61">
            <w:pPr>
              <w:spacing w:line="276" w:lineRule="auto"/>
              <w:rPr>
                <w:rFonts w:ascii="Arial" w:hAnsi="Arial" w:cs="Arial"/>
                <w:szCs w:val="24"/>
              </w:rPr>
            </w:pPr>
            <w:r w:rsidRPr="00D8338A">
              <w:rPr>
                <w:rFonts w:ascii="Arial" w:hAnsi="Arial" w:cs="Arial"/>
                <w:szCs w:val="24"/>
              </w:rPr>
              <w:t xml:space="preserve">The </w:t>
            </w:r>
            <w:r w:rsidR="00D8338A">
              <w:rPr>
                <w:rFonts w:ascii="Arial" w:hAnsi="Arial" w:cs="Arial"/>
                <w:szCs w:val="24"/>
              </w:rPr>
              <w:t xml:space="preserve">same </w:t>
            </w:r>
            <w:r w:rsidRPr="00D8338A">
              <w:rPr>
                <w:rFonts w:ascii="Arial" w:hAnsi="Arial" w:cs="Arial"/>
                <w:szCs w:val="24"/>
              </w:rPr>
              <w:t>pilot team has been in post for a number of years.</w:t>
            </w:r>
          </w:p>
          <w:p w14:paraId="08611070" w14:textId="7D649692" w:rsidR="006F0B94" w:rsidRPr="00BA5E61" w:rsidRDefault="006F0B94" w:rsidP="00BA5E61">
            <w:pPr>
              <w:spacing w:line="276" w:lineRule="auto"/>
              <w:rPr>
                <w:rFonts w:ascii="Arial" w:hAnsi="Arial" w:cs="Arial"/>
                <w:sz w:val="20"/>
              </w:rPr>
            </w:pPr>
          </w:p>
        </w:tc>
      </w:tr>
    </w:tbl>
    <w:p w14:paraId="08611072" w14:textId="77777777" w:rsidR="002E79E3" w:rsidRPr="00BA5E61" w:rsidRDefault="002E79E3" w:rsidP="002E79E3">
      <w:pPr>
        <w:jc w:val="center"/>
        <w:rPr>
          <w:rFonts w:ascii="Arial" w:hAnsi="Arial" w:cs="Arial"/>
          <w:b/>
          <w:sz w:val="22"/>
          <w:szCs w:val="22"/>
        </w:rPr>
      </w:pPr>
    </w:p>
    <w:p w14:paraId="08611073" w14:textId="77777777" w:rsidR="002E79E3" w:rsidRPr="00BA5E61" w:rsidRDefault="002E79E3" w:rsidP="002E79E3">
      <w:pPr>
        <w:ind w:left="-284"/>
        <w:rPr>
          <w:rFonts w:ascii="Arial" w:hAnsi="Arial" w:cs="Arial"/>
          <w:b/>
          <w:sz w:val="22"/>
          <w:szCs w:val="22"/>
        </w:rPr>
      </w:pPr>
      <w:r w:rsidRPr="00BA5E61">
        <w:rPr>
          <w:rFonts w:ascii="Arial" w:hAnsi="Arial" w:cs="Arial"/>
          <w:b/>
          <w:sz w:val="22"/>
          <w:szCs w:val="22"/>
        </w:rPr>
        <w:t>SECTION 2: ACHEIVEMENT OF OBJECTIVES</w:t>
      </w:r>
    </w:p>
    <w:p w14:paraId="08611074" w14:textId="77777777" w:rsidR="002E79E3" w:rsidRPr="00BA5E61" w:rsidRDefault="002E79E3" w:rsidP="002E79E3">
      <w:pPr>
        <w:rPr>
          <w:rFonts w:ascii="Arial" w:hAnsi="Arial" w:cs="Arial"/>
          <w:b/>
          <w:sz w:val="22"/>
          <w:szCs w:val="22"/>
        </w:rPr>
      </w:pPr>
    </w:p>
    <w:tbl>
      <w:tblPr>
        <w:tblW w:w="964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1"/>
        <w:gridCol w:w="2126"/>
        <w:gridCol w:w="3657"/>
      </w:tblGrid>
      <w:tr w:rsidR="002E79E3" w:rsidRPr="00BA5E61" w14:paraId="08611076" w14:textId="77777777" w:rsidTr="00BA5E61">
        <w:trPr>
          <w:cantSplit/>
          <w:trHeight w:val="347"/>
        </w:trPr>
        <w:tc>
          <w:tcPr>
            <w:tcW w:w="9644" w:type="dxa"/>
            <w:gridSpan w:val="3"/>
            <w:shd w:val="clear" w:color="auto" w:fill="D9D9D9"/>
          </w:tcPr>
          <w:p w14:paraId="08611075" w14:textId="77777777" w:rsidR="00BA5E61" w:rsidRPr="00BA5E61" w:rsidRDefault="002E79E3" w:rsidP="000477A3">
            <w:pPr>
              <w:spacing w:line="276" w:lineRule="auto"/>
              <w:rPr>
                <w:rFonts w:ascii="Arial" w:hAnsi="Arial" w:cs="Arial"/>
                <w:sz w:val="22"/>
                <w:szCs w:val="22"/>
              </w:rPr>
            </w:pPr>
            <w:r w:rsidRPr="00BA5E61">
              <w:rPr>
                <w:rFonts w:ascii="Arial" w:hAnsi="Arial" w:cs="Arial"/>
                <w:sz w:val="22"/>
                <w:szCs w:val="22"/>
              </w:rPr>
              <w:t>Did this Investment meet objectives given in Business Case? Please give details.</w:t>
            </w:r>
          </w:p>
        </w:tc>
      </w:tr>
      <w:tr w:rsidR="002E79E3" w:rsidRPr="00BA5E61" w14:paraId="0861107C" w14:textId="77777777" w:rsidTr="00D8338A">
        <w:trPr>
          <w:cantSplit/>
          <w:trHeight w:val="565"/>
        </w:trPr>
        <w:tc>
          <w:tcPr>
            <w:tcW w:w="3861" w:type="dxa"/>
            <w:shd w:val="clear" w:color="auto" w:fill="D9D9D9"/>
            <w:vAlign w:val="center"/>
          </w:tcPr>
          <w:p w14:paraId="08611077" w14:textId="77777777" w:rsidR="002E79E3" w:rsidRPr="00BA5E61" w:rsidRDefault="002E79E3" w:rsidP="000477A3">
            <w:pPr>
              <w:spacing w:line="276" w:lineRule="auto"/>
              <w:jc w:val="center"/>
              <w:rPr>
                <w:rFonts w:ascii="Arial" w:hAnsi="Arial" w:cs="Arial"/>
              </w:rPr>
            </w:pPr>
            <w:bookmarkStart w:id="1" w:name="OLE_LINK4"/>
            <w:r w:rsidRPr="00BA5E61">
              <w:rPr>
                <w:rFonts w:ascii="Arial" w:hAnsi="Arial" w:cs="Arial"/>
                <w:sz w:val="22"/>
                <w:szCs w:val="22"/>
              </w:rPr>
              <w:t>Objectives</w:t>
            </w:r>
            <w:bookmarkEnd w:id="1"/>
          </w:p>
        </w:tc>
        <w:tc>
          <w:tcPr>
            <w:tcW w:w="2126" w:type="dxa"/>
            <w:shd w:val="clear" w:color="auto" w:fill="D9D9D9"/>
            <w:vAlign w:val="bottom"/>
          </w:tcPr>
          <w:p w14:paraId="08611078" w14:textId="77777777" w:rsidR="002E79E3" w:rsidRPr="00BA5E61" w:rsidRDefault="002E79E3" w:rsidP="000477A3">
            <w:pPr>
              <w:spacing w:line="276" w:lineRule="auto"/>
              <w:jc w:val="center"/>
              <w:rPr>
                <w:rFonts w:ascii="Arial" w:hAnsi="Arial" w:cs="Arial"/>
              </w:rPr>
            </w:pPr>
            <w:r w:rsidRPr="00BA5E61">
              <w:rPr>
                <w:rFonts w:ascii="Arial" w:hAnsi="Arial" w:cs="Arial"/>
                <w:sz w:val="22"/>
                <w:szCs w:val="22"/>
              </w:rPr>
              <w:t>Were they achieved?</w:t>
            </w:r>
          </w:p>
          <w:p w14:paraId="08611079" w14:textId="77777777" w:rsidR="002E79E3" w:rsidRPr="00BA5E61" w:rsidRDefault="002E79E3" w:rsidP="000477A3">
            <w:pPr>
              <w:spacing w:line="276" w:lineRule="auto"/>
              <w:jc w:val="center"/>
              <w:rPr>
                <w:rFonts w:ascii="Arial" w:hAnsi="Arial" w:cs="Arial"/>
              </w:rPr>
            </w:pPr>
          </w:p>
        </w:tc>
        <w:tc>
          <w:tcPr>
            <w:tcW w:w="3657" w:type="dxa"/>
            <w:shd w:val="clear" w:color="auto" w:fill="D9D9D9"/>
          </w:tcPr>
          <w:p w14:paraId="0861107A" w14:textId="77777777" w:rsidR="002E79E3" w:rsidRPr="00BA5E61" w:rsidRDefault="002E79E3" w:rsidP="000477A3">
            <w:pPr>
              <w:spacing w:line="276" w:lineRule="auto"/>
              <w:jc w:val="center"/>
              <w:rPr>
                <w:rFonts w:ascii="Arial" w:hAnsi="Arial" w:cs="Arial"/>
              </w:rPr>
            </w:pPr>
            <w:r w:rsidRPr="00BA5E61">
              <w:rPr>
                <w:rFonts w:ascii="Arial" w:hAnsi="Arial" w:cs="Arial"/>
                <w:sz w:val="22"/>
                <w:szCs w:val="22"/>
              </w:rPr>
              <w:t>How were they achieved?</w:t>
            </w:r>
          </w:p>
          <w:p w14:paraId="0861107B" w14:textId="77777777" w:rsidR="002E79E3" w:rsidRPr="00BA5E61" w:rsidRDefault="002E79E3" w:rsidP="000477A3">
            <w:pPr>
              <w:spacing w:line="276" w:lineRule="auto"/>
              <w:jc w:val="center"/>
              <w:rPr>
                <w:rFonts w:ascii="Arial" w:hAnsi="Arial" w:cs="Arial"/>
                <w:szCs w:val="22"/>
              </w:rPr>
            </w:pPr>
          </w:p>
        </w:tc>
      </w:tr>
      <w:tr w:rsidR="0009276F" w:rsidRPr="00BA5E61" w14:paraId="08611080" w14:textId="77777777" w:rsidTr="00D8338A">
        <w:trPr>
          <w:cantSplit/>
          <w:trHeight w:val="410"/>
        </w:trPr>
        <w:tc>
          <w:tcPr>
            <w:tcW w:w="3861" w:type="dxa"/>
            <w:shd w:val="clear" w:color="auto" w:fill="FFFFFF"/>
          </w:tcPr>
          <w:p w14:paraId="0861107D" w14:textId="5F71C714" w:rsidR="0009276F" w:rsidRPr="00BA5E61" w:rsidRDefault="0009276F" w:rsidP="00D8338A">
            <w:pPr>
              <w:spacing w:line="276" w:lineRule="auto"/>
              <w:rPr>
                <w:rFonts w:ascii="Arial" w:hAnsi="Arial" w:cs="Arial"/>
              </w:rPr>
            </w:pPr>
            <w:r w:rsidRPr="004E2129">
              <w:rPr>
                <w:rFonts w:ascii="Arial" w:hAnsi="Arial" w:cs="Arial"/>
              </w:rPr>
              <w:t xml:space="preserve">1. To Continue to Provide Patients with improved </w:t>
            </w:r>
            <w:r>
              <w:rPr>
                <w:rFonts w:ascii="Arial" w:hAnsi="Arial" w:cs="Arial"/>
              </w:rPr>
              <w:t>ac</w:t>
            </w:r>
            <w:r w:rsidRPr="004E2129">
              <w:rPr>
                <w:rFonts w:ascii="Arial" w:hAnsi="Arial" w:cs="Arial"/>
              </w:rPr>
              <w:t>cess to Oral Surgery Services within Primary Care until a permanent solution is devised.</w:t>
            </w:r>
          </w:p>
        </w:tc>
        <w:tc>
          <w:tcPr>
            <w:tcW w:w="2126" w:type="dxa"/>
            <w:shd w:val="clear" w:color="auto" w:fill="FFFFFF"/>
          </w:tcPr>
          <w:p w14:paraId="0861107E" w14:textId="52633B53" w:rsidR="0009276F" w:rsidRPr="00BA5E61" w:rsidRDefault="0009276F" w:rsidP="00D8338A">
            <w:pPr>
              <w:spacing w:line="276" w:lineRule="auto"/>
              <w:rPr>
                <w:rFonts w:ascii="Arial" w:hAnsi="Arial" w:cs="Arial"/>
              </w:rPr>
            </w:pPr>
            <w:r>
              <w:rPr>
                <w:rFonts w:ascii="Arial" w:hAnsi="Arial" w:cs="Arial"/>
              </w:rPr>
              <w:t>Yes</w:t>
            </w:r>
            <w:r w:rsidRPr="004E2129">
              <w:rPr>
                <w:rFonts w:ascii="Arial" w:hAnsi="Arial" w:cs="Arial"/>
              </w:rPr>
              <w:t xml:space="preserve"> </w:t>
            </w:r>
          </w:p>
        </w:tc>
        <w:tc>
          <w:tcPr>
            <w:tcW w:w="3657" w:type="dxa"/>
            <w:shd w:val="clear" w:color="auto" w:fill="FFFFFF"/>
          </w:tcPr>
          <w:p w14:paraId="0861107F" w14:textId="353ED7FF" w:rsidR="0009276F" w:rsidRPr="00BA5E61" w:rsidRDefault="0009276F" w:rsidP="00D8338A">
            <w:pPr>
              <w:spacing w:line="276" w:lineRule="auto"/>
              <w:rPr>
                <w:rFonts w:ascii="Arial" w:hAnsi="Arial" w:cs="Arial"/>
              </w:rPr>
            </w:pPr>
            <w:r>
              <w:rPr>
                <w:rFonts w:ascii="Arial" w:hAnsi="Arial" w:cs="Arial"/>
              </w:rPr>
              <w:t xml:space="preserve">The oral surgery pilot ran from 1 April 2022 and will continue until 31 </w:t>
            </w:r>
            <w:r w:rsidRPr="004E2129">
              <w:rPr>
                <w:rFonts w:ascii="Arial" w:hAnsi="Arial" w:cs="Arial"/>
              </w:rPr>
              <w:t xml:space="preserve">March 23. </w:t>
            </w:r>
          </w:p>
        </w:tc>
      </w:tr>
      <w:tr w:rsidR="0009276F" w:rsidRPr="00BA5E61" w14:paraId="2DA73BBC" w14:textId="77777777" w:rsidTr="00D8338A">
        <w:trPr>
          <w:cantSplit/>
          <w:trHeight w:val="410"/>
        </w:trPr>
        <w:tc>
          <w:tcPr>
            <w:tcW w:w="3861" w:type="dxa"/>
          </w:tcPr>
          <w:p w14:paraId="5B718DBF" w14:textId="56E879BF" w:rsidR="0009276F" w:rsidRPr="004E2129" w:rsidRDefault="00D8338A" w:rsidP="00D8338A">
            <w:pPr>
              <w:spacing w:line="276" w:lineRule="auto"/>
              <w:rPr>
                <w:rFonts w:ascii="Arial" w:hAnsi="Arial" w:cs="Arial"/>
              </w:rPr>
            </w:pPr>
            <w:r>
              <w:rPr>
                <w:rFonts w:ascii="Arial" w:hAnsi="Arial" w:cs="Arial"/>
                <w:szCs w:val="24"/>
              </w:rPr>
              <w:t xml:space="preserve">2. </w:t>
            </w:r>
            <w:r w:rsidR="0009276F">
              <w:rPr>
                <w:rFonts w:ascii="Arial" w:hAnsi="Arial" w:cs="Arial"/>
                <w:szCs w:val="24"/>
              </w:rPr>
              <w:t>To run an Expression of Interest exercise in April 2022 to try to recruit new pilot performers</w:t>
            </w:r>
          </w:p>
        </w:tc>
        <w:tc>
          <w:tcPr>
            <w:tcW w:w="2126" w:type="dxa"/>
          </w:tcPr>
          <w:p w14:paraId="71391B1F" w14:textId="297A81B6" w:rsidR="0009276F" w:rsidRDefault="007F2ACA" w:rsidP="00D8338A">
            <w:pPr>
              <w:autoSpaceDE w:val="0"/>
              <w:autoSpaceDN w:val="0"/>
              <w:adjustRightInd w:val="0"/>
              <w:spacing w:line="276" w:lineRule="auto"/>
              <w:rPr>
                <w:rFonts w:ascii="Arial" w:hAnsi="Arial" w:cs="Arial"/>
                <w:bCs/>
                <w:szCs w:val="24"/>
              </w:rPr>
            </w:pPr>
            <w:r>
              <w:rPr>
                <w:rFonts w:ascii="Arial" w:hAnsi="Arial" w:cs="Arial"/>
                <w:bCs/>
                <w:szCs w:val="24"/>
              </w:rPr>
              <w:t>Yes, in that an</w:t>
            </w:r>
            <w:r w:rsidR="0009276F">
              <w:rPr>
                <w:rFonts w:ascii="Arial" w:hAnsi="Arial" w:cs="Arial"/>
                <w:bCs/>
                <w:szCs w:val="24"/>
              </w:rPr>
              <w:t xml:space="preserve"> expression of interest was issued on 12 April 2022 (as soon as the business case was approved) to try to recruit new providers </w:t>
            </w:r>
          </w:p>
          <w:p w14:paraId="2E57C482" w14:textId="77777777" w:rsidR="0009276F" w:rsidRDefault="0009276F" w:rsidP="00D8338A">
            <w:pPr>
              <w:spacing w:line="276" w:lineRule="auto"/>
              <w:rPr>
                <w:rFonts w:ascii="Arial" w:hAnsi="Arial" w:cs="Arial"/>
              </w:rPr>
            </w:pPr>
          </w:p>
        </w:tc>
        <w:tc>
          <w:tcPr>
            <w:tcW w:w="3657" w:type="dxa"/>
            <w:shd w:val="clear" w:color="auto" w:fill="FFFFFF"/>
          </w:tcPr>
          <w:p w14:paraId="781A8D2F" w14:textId="48AF13B8" w:rsidR="0009276F" w:rsidRDefault="007F2ACA" w:rsidP="00D8338A">
            <w:pPr>
              <w:spacing w:line="276" w:lineRule="auto"/>
              <w:rPr>
                <w:rFonts w:ascii="Arial" w:hAnsi="Arial" w:cs="Arial"/>
              </w:rPr>
            </w:pPr>
            <w:r>
              <w:rPr>
                <w:rFonts w:ascii="Arial" w:hAnsi="Arial" w:cs="Arial"/>
              </w:rPr>
              <w:t>The exercise</w:t>
            </w:r>
            <w:r w:rsidR="0009276F" w:rsidRPr="0009276F">
              <w:rPr>
                <w:rFonts w:ascii="Arial" w:hAnsi="Arial" w:cs="Arial"/>
              </w:rPr>
              <w:t xml:space="preserve"> was unsuccessful</w:t>
            </w:r>
            <w:r>
              <w:rPr>
                <w:rFonts w:ascii="Arial" w:hAnsi="Arial" w:cs="Arial"/>
              </w:rPr>
              <w:t xml:space="preserve"> in that no new practices were recruited</w:t>
            </w:r>
            <w:r w:rsidR="0009276F" w:rsidRPr="0009276F">
              <w:rPr>
                <w:rFonts w:ascii="Arial" w:hAnsi="Arial" w:cs="Arial"/>
              </w:rPr>
              <w:t>. There were two interested private practices but ultimately, they decided that they were not ready to participate.</w:t>
            </w:r>
          </w:p>
        </w:tc>
      </w:tr>
      <w:tr w:rsidR="0009276F" w:rsidRPr="00BA5E61" w14:paraId="08611084" w14:textId="77777777" w:rsidTr="00D8338A">
        <w:trPr>
          <w:cantSplit/>
          <w:trHeight w:val="417"/>
        </w:trPr>
        <w:tc>
          <w:tcPr>
            <w:tcW w:w="3861" w:type="dxa"/>
            <w:shd w:val="clear" w:color="auto" w:fill="FFFFFF"/>
          </w:tcPr>
          <w:p w14:paraId="08611081" w14:textId="4981F001" w:rsidR="0009276F" w:rsidRPr="00BA5E61" w:rsidRDefault="00D8338A" w:rsidP="00D8338A">
            <w:pPr>
              <w:spacing w:line="276" w:lineRule="auto"/>
              <w:rPr>
                <w:rFonts w:ascii="Arial" w:hAnsi="Arial" w:cs="Arial"/>
              </w:rPr>
            </w:pPr>
            <w:r>
              <w:rPr>
                <w:rFonts w:ascii="Arial" w:hAnsi="Arial" w:cs="Arial"/>
              </w:rPr>
              <w:lastRenderedPageBreak/>
              <w:t>3</w:t>
            </w:r>
            <w:r w:rsidR="0009276F" w:rsidRPr="004E2129">
              <w:rPr>
                <w:rFonts w:ascii="Arial" w:hAnsi="Arial" w:cs="Arial"/>
              </w:rPr>
              <w:t>. Options should be capable of meeting a minimum annual activity target of approximately11K Patients.</w:t>
            </w:r>
          </w:p>
        </w:tc>
        <w:tc>
          <w:tcPr>
            <w:tcW w:w="2126" w:type="dxa"/>
            <w:shd w:val="clear" w:color="auto" w:fill="FFFFFF"/>
          </w:tcPr>
          <w:p w14:paraId="08611082" w14:textId="46F11898" w:rsidR="0009276F" w:rsidRPr="00BA5E61" w:rsidRDefault="0009276F" w:rsidP="00D8338A">
            <w:pPr>
              <w:spacing w:line="276" w:lineRule="auto"/>
              <w:rPr>
                <w:rFonts w:ascii="Arial" w:hAnsi="Arial" w:cs="Arial"/>
              </w:rPr>
            </w:pPr>
            <w:r>
              <w:rPr>
                <w:rFonts w:ascii="Arial" w:hAnsi="Arial" w:cs="Arial"/>
              </w:rPr>
              <w:t xml:space="preserve">Objective was achieved in part. </w:t>
            </w:r>
          </w:p>
        </w:tc>
        <w:tc>
          <w:tcPr>
            <w:tcW w:w="3657" w:type="dxa"/>
            <w:shd w:val="clear" w:color="auto" w:fill="FFFFFF"/>
          </w:tcPr>
          <w:p w14:paraId="43D49855" w14:textId="7D39E927" w:rsidR="0009276F" w:rsidRDefault="0009276F" w:rsidP="00D8338A">
            <w:pPr>
              <w:spacing w:line="276" w:lineRule="auto"/>
              <w:rPr>
                <w:rFonts w:ascii="Arial" w:hAnsi="Arial" w:cs="Arial"/>
              </w:rPr>
            </w:pPr>
            <w:r>
              <w:rPr>
                <w:rFonts w:ascii="Arial" w:hAnsi="Arial" w:cs="Arial"/>
              </w:rPr>
              <w:t>Providers were offered patient volumes of 11k patients however due to a lucrative private market and limited capacity they prioritised private patients. By year end they are will have treated an estimated 7.6k Health service patients.</w:t>
            </w:r>
          </w:p>
          <w:p w14:paraId="7BBEBDA6" w14:textId="32FE898A" w:rsidR="0009276F" w:rsidRPr="0009276F" w:rsidRDefault="0009276F" w:rsidP="00D8338A">
            <w:pPr>
              <w:spacing w:line="276" w:lineRule="auto"/>
              <w:rPr>
                <w:rFonts w:ascii="Arial" w:hAnsi="Arial" w:cs="Arial"/>
              </w:rPr>
            </w:pPr>
            <w:r w:rsidRPr="0009276F">
              <w:rPr>
                <w:rFonts w:ascii="Arial" w:hAnsi="Arial" w:cs="Arial"/>
              </w:rPr>
              <w:t xml:space="preserve"> (based on February 23 actual figures of 7038). </w:t>
            </w:r>
          </w:p>
          <w:p w14:paraId="5F7E7ABF" w14:textId="77777777" w:rsidR="0009276F" w:rsidRPr="0009276F" w:rsidRDefault="0009276F" w:rsidP="00D8338A">
            <w:pPr>
              <w:spacing w:line="276" w:lineRule="auto"/>
              <w:rPr>
                <w:rFonts w:ascii="Arial" w:hAnsi="Arial" w:cs="Arial"/>
              </w:rPr>
            </w:pPr>
          </w:p>
          <w:p w14:paraId="1237CB87" w14:textId="77777777" w:rsidR="0009276F" w:rsidRPr="0009276F" w:rsidRDefault="0009276F" w:rsidP="00D8338A">
            <w:pPr>
              <w:spacing w:line="276" w:lineRule="auto"/>
              <w:rPr>
                <w:rFonts w:ascii="Arial" w:hAnsi="Arial" w:cs="Arial"/>
              </w:rPr>
            </w:pPr>
            <w:r w:rsidRPr="0009276F">
              <w:rPr>
                <w:rFonts w:ascii="Arial" w:hAnsi="Arial" w:cs="Arial"/>
              </w:rPr>
              <w:t>Practices indicate that despite an increase in specialist allowance for 2021/22 (as negotiated with DOH and equating to a fee per case of approximately £179 per case) the fees were less than they had requested (£200 per case) and are not sufficiently attractive to prevent them prioritising private patients over health service activity.</w:t>
            </w:r>
          </w:p>
          <w:p w14:paraId="0187C13B" w14:textId="77777777" w:rsidR="0009276F" w:rsidRPr="0009276F" w:rsidRDefault="0009276F" w:rsidP="00D8338A">
            <w:pPr>
              <w:spacing w:line="276" w:lineRule="auto"/>
              <w:rPr>
                <w:rFonts w:ascii="Arial" w:hAnsi="Arial" w:cs="Arial"/>
              </w:rPr>
            </w:pPr>
          </w:p>
          <w:p w14:paraId="08611083" w14:textId="69EF4ACC" w:rsidR="0009276F" w:rsidRPr="00BA5E61" w:rsidRDefault="0009276F" w:rsidP="00D8338A">
            <w:pPr>
              <w:spacing w:line="276" w:lineRule="auto"/>
              <w:rPr>
                <w:rFonts w:ascii="Arial" w:hAnsi="Arial" w:cs="Arial"/>
              </w:rPr>
            </w:pPr>
            <w:r w:rsidRPr="0009276F">
              <w:rPr>
                <w:rFonts w:ascii="Arial" w:hAnsi="Arial" w:cs="Arial"/>
              </w:rPr>
              <w:t>Although at 7.6k activity is sub-optimal without the pilot scheme activity would have been minimal. Even at increased rates 1 of the 6 pilot providers opted out of the scheme. A potential 16K patients would potentially have been referred to secondary care - 7.6k patients treated in 22/23 plus 8.4k on provider waiting lists.  As there are currently 12k patients already on secondary care waiting lists with many patients waiting more than 2 years this would be highly undesirable</w:t>
            </w:r>
          </w:p>
        </w:tc>
      </w:tr>
    </w:tbl>
    <w:p w14:paraId="08611089" w14:textId="77777777" w:rsidR="002E79E3" w:rsidRPr="00BA5E61" w:rsidRDefault="002E79E3" w:rsidP="00BA5E61">
      <w:pPr>
        <w:rPr>
          <w:rFonts w:ascii="Arial" w:hAnsi="Arial" w:cs="Arial"/>
          <w:b/>
          <w:sz w:val="22"/>
          <w:szCs w:val="22"/>
        </w:rPr>
      </w:pPr>
    </w:p>
    <w:p w14:paraId="0861108A" w14:textId="77777777" w:rsidR="002E79E3" w:rsidRPr="00BA5E61" w:rsidRDefault="002E79E3" w:rsidP="002E79E3">
      <w:pPr>
        <w:ind w:left="-284"/>
        <w:rPr>
          <w:rFonts w:ascii="Arial" w:hAnsi="Arial" w:cs="Arial"/>
          <w:b/>
          <w:sz w:val="22"/>
          <w:szCs w:val="22"/>
        </w:rPr>
      </w:pPr>
    </w:p>
    <w:p w14:paraId="78D50539" w14:textId="77777777" w:rsidR="00D8338A" w:rsidRDefault="00D8338A">
      <w:pPr>
        <w:spacing w:after="200" w:line="276" w:lineRule="auto"/>
        <w:rPr>
          <w:rFonts w:ascii="Arial" w:hAnsi="Arial" w:cs="Arial"/>
          <w:b/>
          <w:sz w:val="22"/>
          <w:szCs w:val="22"/>
        </w:rPr>
      </w:pPr>
      <w:r>
        <w:rPr>
          <w:rFonts w:ascii="Arial" w:hAnsi="Arial" w:cs="Arial"/>
          <w:b/>
          <w:sz w:val="22"/>
          <w:szCs w:val="22"/>
        </w:rPr>
        <w:br w:type="page"/>
      </w:r>
    </w:p>
    <w:p w14:paraId="0861108B" w14:textId="407237D7" w:rsidR="002E79E3" w:rsidRPr="00BA5E61" w:rsidRDefault="002E79E3" w:rsidP="002E79E3">
      <w:pPr>
        <w:ind w:left="-284"/>
        <w:rPr>
          <w:rFonts w:ascii="Arial" w:hAnsi="Arial" w:cs="Arial"/>
          <w:b/>
          <w:sz w:val="22"/>
          <w:szCs w:val="22"/>
        </w:rPr>
      </w:pPr>
      <w:r w:rsidRPr="00BA5E61">
        <w:rPr>
          <w:rFonts w:ascii="Arial" w:hAnsi="Arial" w:cs="Arial"/>
          <w:b/>
          <w:sz w:val="22"/>
          <w:szCs w:val="22"/>
        </w:rPr>
        <w:lastRenderedPageBreak/>
        <w:t xml:space="preserve">SECTION 3: COSTS – PLANNED VERSUS ACTUAL </w:t>
      </w:r>
    </w:p>
    <w:tbl>
      <w:tblPr>
        <w:tblW w:w="964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1"/>
        <w:gridCol w:w="4933"/>
      </w:tblGrid>
      <w:tr w:rsidR="002E79E3" w:rsidRPr="00BA5E61" w14:paraId="08611090" w14:textId="77777777" w:rsidTr="00BA5E61">
        <w:tc>
          <w:tcPr>
            <w:tcW w:w="4711" w:type="dxa"/>
            <w:shd w:val="clear" w:color="auto" w:fill="D9D9D9"/>
          </w:tcPr>
          <w:p w14:paraId="0861108C" w14:textId="77777777" w:rsidR="002E79E3" w:rsidRPr="00BA5E61" w:rsidRDefault="002E79E3" w:rsidP="000477A3">
            <w:pPr>
              <w:spacing w:line="276" w:lineRule="auto"/>
              <w:rPr>
                <w:rFonts w:ascii="Arial" w:hAnsi="Arial" w:cs="Arial"/>
              </w:rPr>
            </w:pPr>
          </w:p>
          <w:p w14:paraId="0861108D" w14:textId="77777777" w:rsidR="002E79E3" w:rsidRPr="00BA5E61" w:rsidRDefault="002E79E3" w:rsidP="000477A3">
            <w:pPr>
              <w:spacing w:line="276" w:lineRule="auto"/>
              <w:jc w:val="center"/>
              <w:rPr>
                <w:rFonts w:ascii="Arial" w:hAnsi="Arial" w:cs="Arial"/>
              </w:rPr>
            </w:pPr>
            <w:r w:rsidRPr="00BA5E61">
              <w:rPr>
                <w:rFonts w:ascii="Arial" w:hAnsi="Arial" w:cs="Arial"/>
                <w:sz w:val="22"/>
                <w:szCs w:val="22"/>
              </w:rPr>
              <w:t>Costs planned in original Business Case</w:t>
            </w:r>
          </w:p>
        </w:tc>
        <w:tc>
          <w:tcPr>
            <w:tcW w:w="4933" w:type="dxa"/>
            <w:shd w:val="clear" w:color="auto" w:fill="D9D9D9"/>
          </w:tcPr>
          <w:p w14:paraId="0861108E" w14:textId="77777777" w:rsidR="002E79E3" w:rsidRPr="00BA5E61" w:rsidRDefault="002E79E3" w:rsidP="000477A3">
            <w:pPr>
              <w:spacing w:line="276" w:lineRule="auto"/>
              <w:jc w:val="center"/>
              <w:rPr>
                <w:rFonts w:ascii="Arial" w:hAnsi="Arial" w:cs="Arial"/>
              </w:rPr>
            </w:pPr>
            <w:r w:rsidRPr="00BA5E61">
              <w:rPr>
                <w:rFonts w:ascii="Arial" w:hAnsi="Arial" w:cs="Arial"/>
                <w:sz w:val="22"/>
                <w:szCs w:val="22"/>
              </w:rPr>
              <w:t>Actual Costs</w:t>
            </w:r>
          </w:p>
          <w:p w14:paraId="0861108F" w14:textId="77777777" w:rsidR="002E79E3" w:rsidRPr="00BA5E61" w:rsidRDefault="002E79E3" w:rsidP="000477A3">
            <w:pPr>
              <w:spacing w:line="276" w:lineRule="auto"/>
              <w:ind w:left="-180" w:firstLine="180"/>
              <w:jc w:val="center"/>
              <w:rPr>
                <w:rFonts w:ascii="Arial" w:hAnsi="Arial" w:cs="Arial"/>
              </w:rPr>
            </w:pPr>
            <w:r w:rsidRPr="00BA5E61">
              <w:rPr>
                <w:rFonts w:ascii="Arial" w:hAnsi="Arial" w:cs="Arial"/>
                <w:sz w:val="22"/>
                <w:szCs w:val="22"/>
              </w:rPr>
              <w:t>(Please comment on variances etc.)</w:t>
            </w:r>
          </w:p>
        </w:tc>
      </w:tr>
      <w:tr w:rsidR="0009276F" w:rsidRPr="00BA5E61" w14:paraId="08611093" w14:textId="77777777" w:rsidTr="00BA5E61">
        <w:trPr>
          <w:trHeight w:val="466"/>
        </w:trPr>
        <w:tc>
          <w:tcPr>
            <w:tcW w:w="4711" w:type="dxa"/>
          </w:tcPr>
          <w:p w14:paraId="08611091" w14:textId="269EB5DD" w:rsidR="0009276F" w:rsidRPr="00BA5E61" w:rsidRDefault="0009276F" w:rsidP="0009276F">
            <w:pPr>
              <w:spacing w:line="276" w:lineRule="auto"/>
              <w:rPr>
                <w:rFonts w:ascii="Arial" w:hAnsi="Arial" w:cs="Arial"/>
              </w:rPr>
            </w:pPr>
            <w:r>
              <w:rPr>
                <w:rFonts w:ascii="Arial" w:hAnsi="Arial" w:cs="Arial"/>
                <w:szCs w:val="24"/>
              </w:rPr>
              <w:t xml:space="preserve">The recurrent </w:t>
            </w:r>
            <w:r w:rsidR="00D8338A">
              <w:rPr>
                <w:rFonts w:ascii="Arial" w:hAnsi="Arial" w:cs="Arial"/>
                <w:szCs w:val="24"/>
              </w:rPr>
              <w:t xml:space="preserve">annual </w:t>
            </w:r>
            <w:r>
              <w:rPr>
                <w:rFonts w:ascii="Arial" w:hAnsi="Arial" w:cs="Arial"/>
                <w:szCs w:val="24"/>
              </w:rPr>
              <w:t>budget is £778k</w:t>
            </w:r>
          </w:p>
        </w:tc>
        <w:tc>
          <w:tcPr>
            <w:tcW w:w="4933" w:type="dxa"/>
          </w:tcPr>
          <w:p w14:paraId="49C0B557" w14:textId="77777777" w:rsidR="0009276F" w:rsidRDefault="0009276F" w:rsidP="0009276F">
            <w:pPr>
              <w:autoSpaceDE w:val="0"/>
              <w:autoSpaceDN w:val="0"/>
              <w:adjustRightInd w:val="0"/>
              <w:jc w:val="both"/>
              <w:rPr>
                <w:rFonts w:ascii="Arial" w:hAnsi="Arial" w:cs="Arial"/>
                <w:bCs/>
                <w:szCs w:val="24"/>
              </w:rPr>
            </w:pPr>
            <w:r>
              <w:rPr>
                <w:rFonts w:ascii="Arial" w:hAnsi="Arial" w:cs="Arial"/>
                <w:bCs/>
                <w:szCs w:val="24"/>
              </w:rPr>
              <w:t>Pilot spend was £733k. This is less that the £778k funding due to lower than anticipated activity.</w:t>
            </w:r>
          </w:p>
          <w:p w14:paraId="05CD0814" w14:textId="77777777" w:rsidR="0009276F" w:rsidRDefault="0009276F" w:rsidP="0009276F">
            <w:pPr>
              <w:autoSpaceDE w:val="0"/>
              <w:autoSpaceDN w:val="0"/>
              <w:adjustRightInd w:val="0"/>
              <w:jc w:val="both"/>
              <w:rPr>
                <w:rFonts w:ascii="Arial" w:hAnsi="Arial" w:cs="Arial"/>
                <w:bCs/>
                <w:szCs w:val="24"/>
              </w:rPr>
            </w:pPr>
          </w:p>
          <w:p w14:paraId="7147D9BD" w14:textId="55336D1D" w:rsidR="0009276F" w:rsidRDefault="0009276F" w:rsidP="0009276F">
            <w:pPr>
              <w:autoSpaceDE w:val="0"/>
              <w:autoSpaceDN w:val="0"/>
              <w:adjustRightInd w:val="0"/>
              <w:jc w:val="both"/>
              <w:rPr>
                <w:rFonts w:ascii="Arial" w:hAnsi="Arial" w:cs="Arial"/>
                <w:bCs/>
                <w:szCs w:val="24"/>
              </w:rPr>
            </w:pPr>
            <w:r>
              <w:rPr>
                <w:rFonts w:ascii="Arial" w:hAnsi="Arial" w:cs="Arial"/>
                <w:bCs/>
                <w:szCs w:val="24"/>
              </w:rPr>
              <w:t>The average payment per patient including SDR fees at usual rates plus pilot enhancements was costed in the business case at £169. The actual average spend per case is currently £167.76 (this varies depending on casemix).</w:t>
            </w:r>
          </w:p>
          <w:p w14:paraId="08611092" w14:textId="77777777" w:rsidR="0009276F" w:rsidRPr="00BA5E61" w:rsidRDefault="0009276F" w:rsidP="0009276F">
            <w:pPr>
              <w:spacing w:line="276" w:lineRule="auto"/>
              <w:rPr>
                <w:rFonts w:ascii="Arial" w:hAnsi="Arial" w:cs="Arial"/>
              </w:rPr>
            </w:pPr>
          </w:p>
        </w:tc>
      </w:tr>
    </w:tbl>
    <w:p w14:paraId="0861109A" w14:textId="77777777" w:rsidR="002E79E3" w:rsidRPr="00BA5E61" w:rsidRDefault="002E79E3" w:rsidP="002E79E3">
      <w:pPr>
        <w:rPr>
          <w:rFonts w:ascii="Arial" w:hAnsi="Arial" w:cs="Arial"/>
          <w:sz w:val="22"/>
          <w:szCs w:val="22"/>
        </w:rPr>
      </w:pPr>
    </w:p>
    <w:tbl>
      <w:tblPr>
        <w:tblW w:w="964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4"/>
      </w:tblGrid>
      <w:tr w:rsidR="002E79E3" w:rsidRPr="00BA5E61" w14:paraId="0861109C" w14:textId="77777777" w:rsidTr="00BA5E61">
        <w:trPr>
          <w:cantSplit/>
          <w:trHeight w:val="421"/>
        </w:trPr>
        <w:tc>
          <w:tcPr>
            <w:tcW w:w="9644" w:type="dxa"/>
            <w:shd w:val="clear" w:color="auto" w:fill="D9D9D9"/>
          </w:tcPr>
          <w:p w14:paraId="0861109B" w14:textId="77777777" w:rsidR="002E79E3" w:rsidRPr="00BA5E61" w:rsidRDefault="002E79E3" w:rsidP="000477A3">
            <w:pPr>
              <w:spacing w:line="276" w:lineRule="auto"/>
              <w:rPr>
                <w:rFonts w:ascii="Arial" w:hAnsi="Arial" w:cs="Arial"/>
              </w:rPr>
            </w:pPr>
            <w:r w:rsidRPr="00BA5E61">
              <w:rPr>
                <w:rFonts w:ascii="Arial" w:hAnsi="Arial" w:cs="Arial"/>
                <w:sz w:val="22"/>
                <w:szCs w:val="22"/>
              </w:rPr>
              <w:t>Were actual costs equal to planned costs? If no, please provide reasons for the variance.</w:t>
            </w:r>
          </w:p>
        </w:tc>
      </w:tr>
      <w:tr w:rsidR="002E79E3" w:rsidRPr="00BA5E61" w14:paraId="0861109E" w14:textId="77777777" w:rsidTr="00BA5E61">
        <w:trPr>
          <w:cantSplit/>
          <w:trHeight w:val="1181"/>
        </w:trPr>
        <w:tc>
          <w:tcPr>
            <w:tcW w:w="9644" w:type="dxa"/>
          </w:tcPr>
          <w:p w14:paraId="565357FC" w14:textId="77777777" w:rsidR="002E79E3" w:rsidRDefault="002E79E3" w:rsidP="00BA5E61">
            <w:pPr>
              <w:spacing w:line="276" w:lineRule="auto"/>
              <w:rPr>
                <w:rFonts w:ascii="Arial" w:hAnsi="Arial" w:cs="Arial"/>
                <w:sz w:val="20"/>
              </w:rPr>
            </w:pPr>
          </w:p>
          <w:p w14:paraId="0861109D" w14:textId="02911145" w:rsidR="00D8338A" w:rsidRPr="00D8338A" w:rsidRDefault="00D8338A" w:rsidP="00BA5E61">
            <w:pPr>
              <w:spacing w:line="276" w:lineRule="auto"/>
              <w:rPr>
                <w:rFonts w:ascii="Arial" w:hAnsi="Arial" w:cs="Arial"/>
                <w:szCs w:val="24"/>
              </w:rPr>
            </w:pPr>
            <w:r>
              <w:rPr>
                <w:rFonts w:ascii="Arial" w:hAnsi="Arial" w:cs="Arial"/>
                <w:szCs w:val="24"/>
              </w:rPr>
              <w:t>M</w:t>
            </w:r>
            <w:r w:rsidRPr="00D8338A">
              <w:rPr>
                <w:rFonts w:ascii="Arial" w:hAnsi="Arial" w:cs="Arial"/>
                <w:szCs w:val="24"/>
              </w:rPr>
              <w:t xml:space="preserve">inimum and maximum activity targets </w:t>
            </w:r>
            <w:r>
              <w:rPr>
                <w:rFonts w:ascii="Arial" w:hAnsi="Arial" w:cs="Arial"/>
                <w:szCs w:val="24"/>
              </w:rPr>
              <w:t>were agreed with each practice</w:t>
            </w:r>
            <w:r w:rsidRPr="00D8338A">
              <w:rPr>
                <w:rFonts w:ascii="Arial" w:hAnsi="Arial" w:cs="Arial"/>
                <w:szCs w:val="24"/>
              </w:rPr>
              <w:t xml:space="preserve"> according to their capacity and budget availability. They </w:t>
            </w:r>
            <w:r w:rsidR="007F2ACA">
              <w:rPr>
                <w:rFonts w:ascii="Arial" w:hAnsi="Arial" w:cs="Arial"/>
                <w:szCs w:val="24"/>
              </w:rPr>
              <w:t>have already met</w:t>
            </w:r>
            <w:r w:rsidRPr="00D8338A">
              <w:rPr>
                <w:rFonts w:ascii="Arial" w:hAnsi="Arial" w:cs="Arial"/>
                <w:szCs w:val="24"/>
              </w:rPr>
              <w:t xml:space="preserve"> m</w:t>
            </w:r>
            <w:r>
              <w:rPr>
                <w:rFonts w:ascii="Arial" w:hAnsi="Arial" w:cs="Arial"/>
                <w:szCs w:val="24"/>
              </w:rPr>
              <w:t>i</w:t>
            </w:r>
            <w:r w:rsidRPr="00D8338A">
              <w:rPr>
                <w:rFonts w:ascii="Arial" w:hAnsi="Arial" w:cs="Arial"/>
                <w:szCs w:val="24"/>
              </w:rPr>
              <w:t xml:space="preserve">nimum targets but </w:t>
            </w:r>
            <w:r w:rsidR="007F2ACA">
              <w:rPr>
                <w:rFonts w:ascii="Arial" w:hAnsi="Arial" w:cs="Arial"/>
                <w:szCs w:val="24"/>
              </w:rPr>
              <w:t xml:space="preserve">will not achieve </w:t>
            </w:r>
            <w:r w:rsidRPr="00D8338A">
              <w:rPr>
                <w:rFonts w:ascii="Arial" w:hAnsi="Arial" w:cs="Arial"/>
                <w:szCs w:val="24"/>
              </w:rPr>
              <w:t>maximum.</w:t>
            </w:r>
          </w:p>
        </w:tc>
      </w:tr>
    </w:tbl>
    <w:p w14:paraId="0861109F" w14:textId="77777777" w:rsidR="002E79E3" w:rsidRPr="00BA5E61" w:rsidRDefault="002E79E3" w:rsidP="002E79E3">
      <w:pPr>
        <w:jc w:val="center"/>
        <w:rPr>
          <w:rFonts w:ascii="Arial" w:hAnsi="Arial" w:cs="Arial"/>
          <w:b/>
          <w:sz w:val="22"/>
          <w:szCs w:val="22"/>
        </w:rPr>
      </w:pPr>
    </w:p>
    <w:p w14:paraId="086110A0" w14:textId="77777777" w:rsidR="002E79E3" w:rsidRPr="00BA5E61" w:rsidRDefault="002E79E3" w:rsidP="002E79E3">
      <w:pPr>
        <w:ind w:left="-284"/>
        <w:rPr>
          <w:rFonts w:ascii="Arial" w:hAnsi="Arial" w:cs="Arial"/>
          <w:b/>
          <w:sz w:val="22"/>
          <w:szCs w:val="22"/>
        </w:rPr>
      </w:pPr>
      <w:r w:rsidRPr="00BA5E61">
        <w:rPr>
          <w:rFonts w:ascii="Arial" w:hAnsi="Arial" w:cs="Arial"/>
          <w:b/>
          <w:sz w:val="22"/>
          <w:szCs w:val="22"/>
        </w:rPr>
        <w:t xml:space="preserve">SECTION 4: TIMING PROFILE – PLANNED VERSUS ACTUAL </w:t>
      </w:r>
    </w:p>
    <w:tbl>
      <w:tblPr>
        <w:tblW w:w="964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1"/>
        <w:gridCol w:w="4933"/>
      </w:tblGrid>
      <w:tr w:rsidR="002E79E3" w:rsidRPr="00BA5E61" w14:paraId="086110A5" w14:textId="77777777" w:rsidTr="00BA5E61">
        <w:tc>
          <w:tcPr>
            <w:tcW w:w="4711" w:type="dxa"/>
            <w:shd w:val="clear" w:color="auto" w:fill="D9D9D9"/>
          </w:tcPr>
          <w:p w14:paraId="086110A1" w14:textId="77777777" w:rsidR="002E79E3" w:rsidRPr="00BA5E61" w:rsidRDefault="002E79E3" w:rsidP="000477A3">
            <w:pPr>
              <w:spacing w:line="276" w:lineRule="auto"/>
              <w:rPr>
                <w:rFonts w:ascii="Arial" w:hAnsi="Arial" w:cs="Arial"/>
              </w:rPr>
            </w:pPr>
          </w:p>
          <w:p w14:paraId="086110A2" w14:textId="77777777" w:rsidR="002E79E3" w:rsidRPr="00BA5E61" w:rsidRDefault="002E79E3" w:rsidP="000477A3">
            <w:pPr>
              <w:spacing w:line="276" w:lineRule="auto"/>
              <w:jc w:val="center"/>
              <w:rPr>
                <w:rFonts w:ascii="Arial" w:hAnsi="Arial" w:cs="Arial"/>
              </w:rPr>
            </w:pPr>
            <w:r w:rsidRPr="00BA5E61">
              <w:rPr>
                <w:rFonts w:ascii="Arial" w:hAnsi="Arial" w:cs="Arial"/>
                <w:sz w:val="22"/>
                <w:szCs w:val="22"/>
              </w:rPr>
              <w:t xml:space="preserve">Timing profile planned in original Business Case – </w:t>
            </w:r>
            <w:proofErr w:type="spellStart"/>
            <w:r w:rsidRPr="00BA5E61">
              <w:rPr>
                <w:rFonts w:ascii="Arial" w:hAnsi="Arial" w:cs="Arial"/>
                <w:sz w:val="22"/>
                <w:szCs w:val="22"/>
              </w:rPr>
              <w:t>eg</w:t>
            </w:r>
            <w:proofErr w:type="spellEnd"/>
            <w:r w:rsidRPr="00BA5E61">
              <w:rPr>
                <w:rFonts w:ascii="Arial" w:hAnsi="Arial" w:cs="Arial"/>
                <w:sz w:val="22"/>
                <w:szCs w:val="22"/>
              </w:rPr>
              <w:t xml:space="preserve"> start date, milestones, completion dates etc</w:t>
            </w:r>
          </w:p>
        </w:tc>
        <w:tc>
          <w:tcPr>
            <w:tcW w:w="4933" w:type="dxa"/>
            <w:shd w:val="clear" w:color="auto" w:fill="D9D9D9"/>
          </w:tcPr>
          <w:p w14:paraId="086110A3" w14:textId="77777777" w:rsidR="002E79E3" w:rsidRPr="00BA5E61" w:rsidRDefault="002E79E3" w:rsidP="000477A3">
            <w:pPr>
              <w:spacing w:line="276" w:lineRule="auto"/>
              <w:jc w:val="center"/>
              <w:rPr>
                <w:rFonts w:ascii="Arial" w:hAnsi="Arial" w:cs="Arial"/>
              </w:rPr>
            </w:pPr>
            <w:r w:rsidRPr="00BA5E61">
              <w:rPr>
                <w:rFonts w:ascii="Arial" w:hAnsi="Arial" w:cs="Arial"/>
                <w:sz w:val="22"/>
                <w:szCs w:val="22"/>
              </w:rPr>
              <w:t>Actual Timing Profile</w:t>
            </w:r>
          </w:p>
          <w:p w14:paraId="086110A4" w14:textId="77777777" w:rsidR="002E79E3" w:rsidRPr="00BA5E61" w:rsidRDefault="002E79E3" w:rsidP="000477A3">
            <w:pPr>
              <w:spacing w:line="276" w:lineRule="auto"/>
              <w:ind w:left="-180" w:firstLine="180"/>
              <w:jc w:val="center"/>
              <w:rPr>
                <w:rFonts w:ascii="Arial" w:hAnsi="Arial" w:cs="Arial"/>
              </w:rPr>
            </w:pPr>
            <w:r w:rsidRPr="00BA5E61">
              <w:rPr>
                <w:rFonts w:ascii="Arial" w:hAnsi="Arial" w:cs="Arial"/>
                <w:sz w:val="22"/>
                <w:szCs w:val="22"/>
              </w:rPr>
              <w:t>(Please comment on variances etc.)</w:t>
            </w:r>
          </w:p>
        </w:tc>
      </w:tr>
      <w:tr w:rsidR="00D8338A" w:rsidRPr="00BA5E61" w14:paraId="086110A8" w14:textId="77777777" w:rsidTr="00BA5E61">
        <w:trPr>
          <w:trHeight w:val="466"/>
        </w:trPr>
        <w:tc>
          <w:tcPr>
            <w:tcW w:w="4711" w:type="dxa"/>
          </w:tcPr>
          <w:p w14:paraId="086110A6" w14:textId="0C7CD2E4" w:rsidR="00D8338A" w:rsidRPr="00BA5E61" w:rsidRDefault="00D8338A" w:rsidP="00D8338A">
            <w:pPr>
              <w:spacing w:line="276" w:lineRule="auto"/>
              <w:rPr>
                <w:rFonts w:ascii="Arial" w:hAnsi="Arial" w:cs="Arial"/>
              </w:rPr>
            </w:pPr>
            <w:r>
              <w:rPr>
                <w:rFonts w:ascii="Arial" w:hAnsi="Arial" w:cs="Arial"/>
              </w:rPr>
              <w:t>Start date was 1 April 2022</w:t>
            </w:r>
          </w:p>
        </w:tc>
        <w:tc>
          <w:tcPr>
            <w:tcW w:w="4933" w:type="dxa"/>
          </w:tcPr>
          <w:p w14:paraId="086110A7" w14:textId="4647C0A0" w:rsidR="00D8338A" w:rsidRPr="00BA5E61" w:rsidRDefault="00D8338A" w:rsidP="00D8338A">
            <w:pPr>
              <w:spacing w:line="276" w:lineRule="auto"/>
              <w:rPr>
                <w:rFonts w:ascii="Arial" w:hAnsi="Arial" w:cs="Arial"/>
              </w:rPr>
            </w:pPr>
            <w:r>
              <w:rPr>
                <w:rFonts w:ascii="Arial" w:hAnsi="Arial" w:cs="Arial"/>
              </w:rPr>
              <w:t>Start date was 1 April 2022 – no variance</w:t>
            </w:r>
          </w:p>
        </w:tc>
      </w:tr>
      <w:tr w:rsidR="00D8338A" w:rsidRPr="00BA5E61" w14:paraId="086110AB" w14:textId="77777777" w:rsidTr="00BA5E61">
        <w:trPr>
          <w:trHeight w:val="415"/>
        </w:trPr>
        <w:tc>
          <w:tcPr>
            <w:tcW w:w="4711" w:type="dxa"/>
          </w:tcPr>
          <w:p w14:paraId="086110A9" w14:textId="2CF26BE6" w:rsidR="00D8338A" w:rsidRPr="00BA5E61" w:rsidRDefault="00D8338A" w:rsidP="00D8338A">
            <w:pPr>
              <w:spacing w:line="276" w:lineRule="auto"/>
              <w:rPr>
                <w:rFonts w:ascii="Arial" w:hAnsi="Arial" w:cs="Arial"/>
              </w:rPr>
            </w:pPr>
            <w:r>
              <w:rPr>
                <w:rFonts w:ascii="Arial" w:hAnsi="Arial" w:cs="Arial"/>
              </w:rPr>
              <w:t>End Date 31 March 2023</w:t>
            </w:r>
          </w:p>
        </w:tc>
        <w:tc>
          <w:tcPr>
            <w:tcW w:w="4933" w:type="dxa"/>
          </w:tcPr>
          <w:p w14:paraId="086110AA" w14:textId="470E774C" w:rsidR="00D8338A" w:rsidRPr="00BA5E61" w:rsidRDefault="00D8338A" w:rsidP="00D8338A">
            <w:pPr>
              <w:spacing w:line="276" w:lineRule="auto"/>
              <w:rPr>
                <w:rFonts w:ascii="Arial" w:hAnsi="Arial" w:cs="Arial"/>
              </w:rPr>
            </w:pPr>
            <w:r>
              <w:rPr>
                <w:rFonts w:ascii="Arial" w:hAnsi="Arial" w:cs="Arial"/>
              </w:rPr>
              <w:t>End Date 31 March 2023 0 no variance</w:t>
            </w:r>
          </w:p>
        </w:tc>
      </w:tr>
    </w:tbl>
    <w:p w14:paraId="086110AF" w14:textId="77777777" w:rsidR="002E79E3" w:rsidRPr="00BA5E61" w:rsidRDefault="002E79E3" w:rsidP="002E79E3">
      <w:pPr>
        <w:rPr>
          <w:rFonts w:ascii="Arial" w:hAnsi="Arial" w:cs="Arial"/>
          <w:sz w:val="22"/>
          <w:szCs w:val="22"/>
        </w:rPr>
      </w:pPr>
    </w:p>
    <w:tbl>
      <w:tblPr>
        <w:tblW w:w="964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4"/>
      </w:tblGrid>
      <w:tr w:rsidR="002E79E3" w:rsidRPr="00BA5E61" w14:paraId="086110B1" w14:textId="77777777" w:rsidTr="00BA5E61">
        <w:trPr>
          <w:trHeight w:val="421"/>
        </w:trPr>
        <w:tc>
          <w:tcPr>
            <w:tcW w:w="9644" w:type="dxa"/>
            <w:shd w:val="clear" w:color="auto" w:fill="D9D9D9"/>
          </w:tcPr>
          <w:p w14:paraId="086110B0" w14:textId="77777777" w:rsidR="002E79E3" w:rsidRPr="00BA5E61" w:rsidRDefault="002E79E3" w:rsidP="000477A3">
            <w:pPr>
              <w:spacing w:line="276" w:lineRule="auto"/>
              <w:rPr>
                <w:rFonts w:ascii="Arial" w:hAnsi="Arial" w:cs="Arial"/>
              </w:rPr>
            </w:pPr>
            <w:r w:rsidRPr="00BA5E61">
              <w:rPr>
                <w:rFonts w:ascii="Arial" w:hAnsi="Arial" w:cs="Arial"/>
                <w:sz w:val="22"/>
                <w:szCs w:val="22"/>
              </w:rPr>
              <w:t>Did actual timing profile meet planned timing profile? If no, please provide reasons for the variance.</w:t>
            </w:r>
          </w:p>
        </w:tc>
      </w:tr>
      <w:tr w:rsidR="002E79E3" w:rsidRPr="00BA5E61" w14:paraId="086110B3" w14:textId="77777777" w:rsidTr="00BA5E61">
        <w:trPr>
          <w:trHeight w:val="1181"/>
        </w:trPr>
        <w:tc>
          <w:tcPr>
            <w:tcW w:w="9644" w:type="dxa"/>
          </w:tcPr>
          <w:p w14:paraId="086110B2" w14:textId="7F945B9F" w:rsidR="002E79E3" w:rsidRPr="00D8338A" w:rsidRDefault="00D8338A" w:rsidP="000477A3">
            <w:pPr>
              <w:spacing w:line="276" w:lineRule="auto"/>
              <w:rPr>
                <w:rFonts w:ascii="Arial" w:hAnsi="Arial" w:cs="Arial"/>
                <w:szCs w:val="24"/>
              </w:rPr>
            </w:pPr>
            <w:r w:rsidRPr="00D8338A">
              <w:rPr>
                <w:rFonts w:ascii="Arial" w:hAnsi="Arial" w:cs="Arial"/>
                <w:szCs w:val="24"/>
              </w:rPr>
              <w:t xml:space="preserve">Yes. </w:t>
            </w:r>
            <w:r w:rsidR="007F2ACA">
              <w:rPr>
                <w:rFonts w:ascii="Arial" w:hAnsi="Arial" w:cs="Arial"/>
                <w:szCs w:val="24"/>
              </w:rPr>
              <w:t xml:space="preserve">All timescales were met. </w:t>
            </w:r>
            <w:r w:rsidRPr="00D8338A">
              <w:rPr>
                <w:rFonts w:ascii="Arial" w:hAnsi="Arial" w:cs="Arial"/>
                <w:szCs w:val="24"/>
              </w:rPr>
              <w:t>Activity was profiled by the practices across the year to ensure a consistent level of service provision.</w:t>
            </w:r>
          </w:p>
        </w:tc>
      </w:tr>
    </w:tbl>
    <w:p w14:paraId="086110B4" w14:textId="77777777" w:rsidR="002E79E3" w:rsidRPr="00BA5E61" w:rsidRDefault="002E79E3" w:rsidP="002E79E3">
      <w:pPr>
        <w:jc w:val="center"/>
        <w:rPr>
          <w:rFonts w:ascii="Arial" w:hAnsi="Arial" w:cs="Arial"/>
          <w:b/>
          <w:sz w:val="22"/>
          <w:szCs w:val="22"/>
        </w:rPr>
      </w:pPr>
    </w:p>
    <w:p w14:paraId="086110B5" w14:textId="77777777" w:rsidR="002E79E3" w:rsidRPr="00BA5E61" w:rsidRDefault="002E79E3" w:rsidP="002E79E3">
      <w:pPr>
        <w:spacing w:line="276" w:lineRule="auto"/>
        <w:ind w:left="-180" w:hanging="104"/>
        <w:rPr>
          <w:rFonts w:ascii="Arial" w:hAnsi="Arial" w:cs="Arial"/>
          <w:b/>
          <w:sz w:val="22"/>
          <w:szCs w:val="22"/>
        </w:rPr>
      </w:pPr>
      <w:r w:rsidRPr="00BA5E61">
        <w:rPr>
          <w:rFonts w:ascii="Arial" w:hAnsi="Arial" w:cs="Arial"/>
          <w:b/>
          <w:sz w:val="22"/>
          <w:szCs w:val="22"/>
        </w:rPr>
        <w:t>SECTION 5: VALUE FOR MONEY</w:t>
      </w:r>
    </w:p>
    <w:p w14:paraId="086110B6" w14:textId="77777777" w:rsidR="002E79E3" w:rsidRPr="00BA5E61" w:rsidRDefault="002E79E3" w:rsidP="002E79E3">
      <w:pPr>
        <w:spacing w:line="276" w:lineRule="auto"/>
        <w:ind w:left="-180" w:firstLine="180"/>
        <w:rPr>
          <w:rFonts w:ascii="Arial" w:hAnsi="Arial" w:cs="Arial"/>
          <w:sz w:val="22"/>
          <w:szCs w:val="22"/>
        </w:rPr>
      </w:pPr>
    </w:p>
    <w:tbl>
      <w:tblPr>
        <w:tblW w:w="964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4"/>
      </w:tblGrid>
      <w:tr w:rsidR="002E79E3" w:rsidRPr="00BA5E61" w14:paraId="086110B8" w14:textId="77777777" w:rsidTr="00BA5E61">
        <w:trPr>
          <w:cantSplit/>
        </w:trPr>
        <w:tc>
          <w:tcPr>
            <w:tcW w:w="9644" w:type="dxa"/>
            <w:shd w:val="clear" w:color="auto" w:fill="D9D9D9"/>
          </w:tcPr>
          <w:p w14:paraId="086110B7" w14:textId="77777777" w:rsidR="002E79E3" w:rsidRPr="00BA5E61" w:rsidRDefault="002E79E3" w:rsidP="000477A3">
            <w:pPr>
              <w:spacing w:line="276" w:lineRule="auto"/>
              <w:rPr>
                <w:rFonts w:ascii="Arial" w:hAnsi="Arial" w:cs="Arial"/>
              </w:rPr>
            </w:pPr>
            <w:r w:rsidRPr="00BA5E61">
              <w:rPr>
                <w:rFonts w:ascii="Arial" w:hAnsi="Arial" w:cs="Arial"/>
                <w:sz w:val="22"/>
                <w:szCs w:val="22"/>
              </w:rPr>
              <w:t>What methodology was used to assess quality and value for money of service provided? What were the conclusions?</w:t>
            </w:r>
          </w:p>
        </w:tc>
      </w:tr>
      <w:tr w:rsidR="00D8338A" w:rsidRPr="00BA5E61" w14:paraId="086110BA" w14:textId="77777777" w:rsidTr="00BA5E61">
        <w:trPr>
          <w:cantSplit/>
          <w:trHeight w:val="1245"/>
        </w:trPr>
        <w:tc>
          <w:tcPr>
            <w:tcW w:w="9644" w:type="dxa"/>
          </w:tcPr>
          <w:p w14:paraId="32824668" w14:textId="77777777" w:rsidR="00D8338A" w:rsidRDefault="00D8338A" w:rsidP="00D8338A">
            <w:pPr>
              <w:rPr>
                <w:rFonts w:ascii="Arial" w:hAnsi="Arial" w:cs="Arial"/>
                <w:b/>
                <w:sz w:val="20"/>
              </w:rPr>
            </w:pPr>
            <w:r w:rsidRPr="00B56D6B">
              <w:rPr>
                <w:rFonts w:ascii="Arial" w:hAnsi="Arial" w:cs="Arial"/>
                <w:b/>
                <w:sz w:val="20"/>
              </w:rPr>
              <w:lastRenderedPageBreak/>
              <w:t>[expand as appropriate]</w:t>
            </w:r>
          </w:p>
          <w:p w14:paraId="4AD3E15E" w14:textId="77777777" w:rsidR="00D8338A" w:rsidRDefault="00D8338A" w:rsidP="00D8338A">
            <w:pPr>
              <w:rPr>
                <w:rFonts w:ascii="Arial" w:hAnsi="Arial" w:cs="Arial"/>
                <w:b/>
                <w:sz w:val="20"/>
              </w:rPr>
            </w:pPr>
          </w:p>
          <w:p w14:paraId="7F2DA03E" w14:textId="1FB20FFE" w:rsidR="00D8338A" w:rsidRDefault="00D8338A" w:rsidP="00D8338A">
            <w:pPr>
              <w:rPr>
                <w:rFonts w:ascii="Arial" w:hAnsi="Arial" w:cs="Arial"/>
              </w:rPr>
            </w:pPr>
            <w:r>
              <w:rPr>
                <w:rFonts w:ascii="Arial" w:hAnsi="Arial" w:cs="Arial"/>
              </w:rPr>
              <w:t>The monthly activity and cost reports from BSO as well as provider monitoring returns were monitored closely to ensure that practices were on track to minimum targets and that treatment provided was at the appropriate complexity level, i.e. Level 2</w:t>
            </w:r>
            <w:r w:rsidR="00496A13">
              <w:rPr>
                <w:rFonts w:ascii="Arial" w:hAnsi="Arial" w:cs="Arial"/>
              </w:rPr>
              <w:t>.</w:t>
            </w:r>
          </w:p>
          <w:p w14:paraId="146971D9" w14:textId="77777777" w:rsidR="00D8338A" w:rsidRDefault="00D8338A" w:rsidP="00D8338A">
            <w:pPr>
              <w:rPr>
                <w:rFonts w:ascii="Arial" w:hAnsi="Arial" w:cs="Arial"/>
              </w:rPr>
            </w:pPr>
          </w:p>
          <w:p w14:paraId="2C41471C" w14:textId="6B1AC97A" w:rsidR="00D8338A" w:rsidRDefault="00D8338A" w:rsidP="00D8338A">
            <w:pPr>
              <w:rPr>
                <w:rFonts w:ascii="Arial" w:hAnsi="Arial" w:cs="Arial"/>
              </w:rPr>
            </w:pPr>
            <w:r>
              <w:rPr>
                <w:rFonts w:ascii="Arial" w:hAnsi="Arial" w:cs="Arial"/>
              </w:rPr>
              <w:t xml:space="preserve">The projected 7.6k patients </w:t>
            </w:r>
            <w:r w:rsidR="007F2ACA">
              <w:rPr>
                <w:rFonts w:ascii="Arial" w:hAnsi="Arial" w:cs="Arial"/>
              </w:rPr>
              <w:t xml:space="preserve">that will have been </w:t>
            </w:r>
            <w:r>
              <w:rPr>
                <w:rFonts w:ascii="Arial" w:hAnsi="Arial" w:cs="Arial"/>
              </w:rPr>
              <w:t>treated by 31 March 23 means that practices met the minimum targets agreed with them in April 22. These patients would otherwise have been referred to secondary care where waiting lists are already excessive.</w:t>
            </w:r>
          </w:p>
          <w:p w14:paraId="5F51B644" w14:textId="77777777" w:rsidR="00D8338A" w:rsidRDefault="00D8338A" w:rsidP="00D8338A">
            <w:pPr>
              <w:rPr>
                <w:rFonts w:ascii="Arial" w:hAnsi="Arial" w:cs="Arial"/>
              </w:rPr>
            </w:pPr>
          </w:p>
          <w:p w14:paraId="5CCA3847" w14:textId="77777777" w:rsidR="00D8338A" w:rsidRDefault="00D8338A" w:rsidP="00D8338A">
            <w:pPr>
              <w:rPr>
                <w:rFonts w:ascii="Arial" w:hAnsi="Arial" w:cs="Arial"/>
              </w:rPr>
            </w:pPr>
            <w:r>
              <w:rPr>
                <w:rFonts w:ascii="Arial" w:hAnsi="Arial" w:cs="Arial"/>
              </w:rPr>
              <w:t>Activity is at the appropriate level of complexity, i.e. level 2. Referral of these patients to secondary care would mean sub-optimal use of hospital resources as these are meant for cases of level 3 complexity.</w:t>
            </w:r>
          </w:p>
          <w:p w14:paraId="54DDD302" w14:textId="77777777" w:rsidR="00D8338A" w:rsidRDefault="00D8338A" w:rsidP="00D8338A">
            <w:pPr>
              <w:rPr>
                <w:rFonts w:ascii="Arial" w:hAnsi="Arial" w:cs="Arial"/>
              </w:rPr>
            </w:pPr>
          </w:p>
          <w:p w14:paraId="5CF4DE0C" w14:textId="4D5E36C8" w:rsidR="00D8338A" w:rsidRDefault="00D8338A" w:rsidP="00D8338A">
            <w:pPr>
              <w:rPr>
                <w:rFonts w:ascii="Arial" w:hAnsi="Arial" w:cs="Arial"/>
              </w:rPr>
            </w:pPr>
            <w:r>
              <w:rPr>
                <w:rFonts w:ascii="Arial" w:hAnsi="Arial" w:cs="Arial"/>
              </w:rPr>
              <w:t>The number of patients waiting is approximately 8.4k and waiting times range from 3 to 9 months. Although for some</w:t>
            </w:r>
            <w:r w:rsidR="007F2ACA">
              <w:rPr>
                <w:rFonts w:ascii="Arial" w:hAnsi="Arial" w:cs="Arial"/>
              </w:rPr>
              <w:t xml:space="preserve"> pilot </w:t>
            </w:r>
            <w:r>
              <w:rPr>
                <w:rFonts w:ascii="Arial" w:hAnsi="Arial" w:cs="Arial"/>
              </w:rPr>
              <w:t xml:space="preserve">practices these are longer than last year they are still far shorter than in secondary care. </w:t>
            </w:r>
            <w:r w:rsidR="007F2ACA">
              <w:rPr>
                <w:rFonts w:ascii="Arial" w:hAnsi="Arial" w:cs="Arial"/>
              </w:rPr>
              <w:t>Pilot p</w:t>
            </w:r>
            <w:r>
              <w:rPr>
                <w:rFonts w:ascii="Arial" w:hAnsi="Arial" w:cs="Arial"/>
              </w:rPr>
              <w:t>ractices are contractually obliged to prioritise patients according to clinical need.</w:t>
            </w:r>
          </w:p>
          <w:p w14:paraId="38F768E6" w14:textId="77777777" w:rsidR="00D8338A" w:rsidRDefault="00D8338A" w:rsidP="00D8338A">
            <w:pPr>
              <w:rPr>
                <w:rFonts w:ascii="Arial" w:hAnsi="Arial" w:cs="Arial"/>
              </w:rPr>
            </w:pPr>
          </w:p>
          <w:p w14:paraId="068000AC" w14:textId="0FD21F5D" w:rsidR="00D8338A" w:rsidRDefault="00D8338A" w:rsidP="00D8338A">
            <w:pPr>
              <w:rPr>
                <w:rFonts w:ascii="Arial" w:hAnsi="Arial" w:cs="Arial"/>
              </w:rPr>
            </w:pPr>
            <w:r>
              <w:rPr>
                <w:rFonts w:ascii="Arial" w:hAnsi="Arial" w:cs="Arial"/>
              </w:rPr>
              <w:t>Practices received £167.76 on average per patient (this varies according to casemix) and is in line with the budgeted £169 and as costed in the IPT. This is considered value for money as it is at the lower end of fees paid elsewhere in the UK.</w:t>
            </w:r>
            <w:r>
              <w:t xml:space="preserve"> </w:t>
            </w:r>
            <w:r w:rsidRPr="00956877">
              <w:rPr>
                <w:rFonts w:ascii="Arial" w:hAnsi="Arial" w:cs="Arial"/>
              </w:rPr>
              <w:t>A Paper dated February 2022 showing current rates paid in the Midlands, UK</w:t>
            </w:r>
            <w:r w:rsidR="007F2ACA">
              <w:rPr>
                <w:rFonts w:ascii="Arial" w:hAnsi="Arial" w:cs="Arial"/>
              </w:rPr>
              <w:t>. This indicates that f</w:t>
            </w:r>
            <w:r w:rsidRPr="00956877">
              <w:rPr>
                <w:rFonts w:ascii="Arial" w:hAnsi="Arial" w:cs="Arial"/>
              </w:rPr>
              <w:t>or comparable treatments a range of £174.60 - £350 per patien</w:t>
            </w:r>
            <w:r w:rsidR="007F2ACA">
              <w:rPr>
                <w:rFonts w:ascii="Arial" w:hAnsi="Arial" w:cs="Arial"/>
              </w:rPr>
              <w:t>t was paid</w:t>
            </w:r>
            <w:r w:rsidRPr="00956877">
              <w:rPr>
                <w:rFonts w:ascii="Arial" w:hAnsi="Arial" w:cs="Arial"/>
              </w:rPr>
              <w:t xml:space="preserve">. </w:t>
            </w:r>
          </w:p>
          <w:p w14:paraId="77A6740A" w14:textId="77777777" w:rsidR="00D8338A" w:rsidRDefault="00D8338A" w:rsidP="00D8338A">
            <w:pPr>
              <w:rPr>
                <w:rFonts w:ascii="Arial" w:hAnsi="Arial" w:cs="Arial"/>
              </w:rPr>
            </w:pPr>
          </w:p>
          <w:p w14:paraId="47BE8E41" w14:textId="77777777" w:rsidR="00D8338A" w:rsidRDefault="00B85FCB" w:rsidP="00D8338A">
            <w:pPr>
              <w:rPr>
                <w:rFonts w:ascii="Arial" w:hAnsi="Arial" w:cs="Arial"/>
              </w:rPr>
            </w:pPr>
            <w:hyperlink r:id="rId5" w:history="1">
              <w:r w:rsidR="00D8338A" w:rsidRPr="00CE733B">
                <w:rPr>
                  <w:rStyle w:val="Hyperlink"/>
                  <w:rFonts w:ascii="Arial" w:hAnsi="Arial" w:cs="Arial"/>
                </w:rPr>
                <w:t>https://www.england.nhs.uk/midlands/wp-content/uploads/sites/46/2022/03/East-Midlands-Intermediate-Minor-Oral-Surgery-Needs-Assessment-2022.pdf</w:t>
              </w:r>
            </w:hyperlink>
          </w:p>
          <w:p w14:paraId="74643FBB" w14:textId="77777777" w:rsidR="00D8338A" w:rsidRDefault="00D8338A" w:rsidP="00D8338A">
            <w:pPr>
              <w:rPr>
                <w:rFonts w:ascii="Arial" w:hAnsi="Arial" w:cs="Arial"/>
              </w:rPr>
            </w:pPr>
          </w:p>
          <w:p w14:paraId="44EDED42" w14:textId="454AABAB" w:rsidR="00D8338A" w:rsidRDefault="007F2ACA" w:rsidP="00D8338A">
            <w:pPr>
              <w:rPr>
                <w:rFonts w:ascii="Arial" w:hAnsi="Arial" w:cs="Arial"/>
              </w:rPr>
            </w:pPr>
            <w:r>
              <w:rPr>
                <w:rFonts w:ascii="Arial" w:hAnsi="Arial" w:cs="Arial"/>
              </w:rPr>
              <w:t>At a NI provider meeting in 2022 a</w:t>
            </w:r>
            <w:r w:rsidR="00D8338A">
              <w:rPr>
                <w:rFonts w:ascii="Arial" w:hAnsi="Arial" w:cs="Arial"/>
              </w:rPr>
              <w:t xml:space="preserve"> rate requested by the </w:t>
            </w:r>
            <w:r>
              <w:rPr>
                <w:rFonts w:ascii="Arial" w:hAnsi="Arial" w:cs="Arial"/>
              </w:rPr>
              <w:t xml:space="preserve">pilot </w:t>
            </w:r>
            <w:r w:rsidR="00D8338A">
              <w:rPr>
                <w:rFonts w:ascii="Arial" w:hAnsi="Arial" w:cs="Arial"/>
              </w:rPr>
              <w:t>provider</w:t>
            </w:r>
            <w:r>
              <w:rPr>
                <w:rFonts w:ascii="Arial" w:hAnsi="Arial" w:cs="Arial"/>
              </w:rPr>
              <w:t>s was</w:t>
            </w:r>
            <w:r w:rsidR="00D8338A">
              <w:rPr>
                <w:rFonts w:ascii="Arial" w:hAnsi="Arial" w:cs="Arial"/>
              </w:rPr>
              <w:t xml:space="preserve"> £200 per case.</w:t>
            </w:r>
            <w:r>
              <w:rPr>
                <w:rFonts w:ascii="Arial" w:hAnsi="Arial" w:cs="Arial"/>
              </w:rPr>
              <w:t xml:space="preserve"> At a subsequent internal meeting with GDOS DOH colleagues a payment of £169 was decided upon.</w:t>
            </w:r>
          </w:p>
          <w:p w14:paraId="76B3CE6C" w14:textId="77777777" w:rsidR="00D8338A" w:rsidRDefault="00D8338A" w:rsidP="00D8338A">
            <w:pPr>
              <w:rPr>
                <w:rFonts w:ascii="Arial" w:hAnsi="Arial" w:cs="Arial"/>
                <w:bCs/>
                <w:color w:val="000000"/>
                <w:szCs w:val="24"/>
              </w:rPr>
            </w:pPr>
          </w:p>
          <w:p w14:paraId="6B02F014" w14:textId="2A8E004F" w:rsidR="00D8338A" w:rsidRDefault="007F2ACA" w:rsidP="00D8338A">
            <w:pPr>
              <w:rPr>
                <w:rFonts w:ascii="Arial" w:hAnsi="Arial" w:cs="Arial"/>
                <w:bCs/>
                <w:color w:val="000000"/>
                <w:szCs w:val="24"/>
              </w:rPr>
            </w:pPr>
            <w:r>
              <w:rPr>
                <w:rFonts w:ascii="Arial" w:hAnsi="Arial" w:cs="Arial"/>
                <w:bCs/>
                <w:color w:val="000000"/>
                <w:szCs w:val="24"/>
              </w:rPr>
              <w:t xml:space="preserve">The actual average </w:t>
            </w:r>
            <w:r w:rsidR="00D8338A">
              <w:rPr>
                <w:rFonts w:ascii="Arial" w:hAnsi="Arial" w:cs="Arial"/>
                <w:bCs/>
                <w:color w:val="000000"/>
                <w:szCs w:val="24"/>
              </w:rPr>
              <w:t xml:space="preserve">rate of £167.76 per case </w:t>
            </w:r>
            <w:r>
              <w:rPr>
                <w:rFonts w:ascii="Arial" w:hAnsi="Arial" w:cs="Arial"/>
                <w:bCs/>
                <w:color w:val="000000"/>
                <w:szCs w:val="24"/>
              </w:rPr>
              <w:t xml:space="preserve">under the current pilot phase </w:t>
            </w:r>
            <w:r w:rsidR="00D8338A">
              <w:rPr>
                <w:rFonts w:ascii="Arial" w:hAnsi="Arial" w:cs="Arial"/>
                <w:bCs/>
                <w:color w:val="000000"/>
                <w:szCs w:val="24"/>
              </w:rPr>
              <w:t xml:space="preserve">is far less than the cost of comparable treatment in secondary care which in 2019.20 was £521.94. </w:t>
            </w:r>
          </w:p>
          <w:p w14:paraId="6AC1305D" w14:textId="77777777" w:rsidR="00D8338A" w:rsidRDefault="00D8338A" w:rsidP="00D8338A">
            <w:pPr>
              <w:rPr>
                <w:rFonts w:ascii="Arial" w:hAnsi="Arial" w:cs="Arial"/>
                <w:bCs/>
                <w:color w:val="000000"/>
                <w:szCs w:val="24"/>
              </w:rPr>
            </w:pPr>
          </w:p>
          <w:p w14:paraId="356640A7" w14:textId="20EBBF1C" w:rsidR="00D8338A" w:rsidRDefault="00D8338A" w:rsidP="00D8338A">
            <w:pPr>
              <w:rPr>
                <w:rFonts w:ascii="Arial" w:hAnsi="Arial" w:cs="Arial"/>
                <w:bCs/>
                <w:color w:val="000000"/>
                <w:szCs w:val="24"/>
              </w:rPr>
            </w:pPr>
            <w:r>
              <w:rPr>
                <w:rFonts w:ascii="Arial" w:hAnsi="Arial" w:cs="Arial"/>
                <w:bCs/>
                <w:noProof/>
                <w:color w:val="000000"/>
                <w:szCs w:val="24"/>
              </w:rPr>
              <w:drawing>
                <wp:inline distT="0" distB="0" distL="0" distR="0" wp14:anchorId="2D3FF57C" wp14:editId="09B95165">
                  <wp:extent cx="5730875" cy="242633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875" cy="2426335"/>
                          </a:xfrm>
                          <a:prstGeom prst="rect">
                            <a:avLst/>
                          </a:prstGeom>
                          <a:noFill/>
                        </pic:spPr>
                      </pic:pic>
                    </a:graphicData>
                  </a:graphic>
                </wp:inline>
              </w:drawing>
            </w:r>
          </w:p>
          <w:p w14:paraId="086110B9" w14:textId="67CC29FB" w:rsidR="00D8338A" w:rsidRPr="00BA5E61" w:rsidRDefault="00D8338A" w:rsidP="00D8338A">
            <w:pPr>
              <w:autoSpaceDE w:val="0"/>
              <w:autoSpaceDN w:val="0"/>
              <w:adjustRightInd w:val="0"/>
              <w:spacing w:line="276" w:lineRule="auto"/>
              <w:jc w:val="both"/>
              <w:rPr>
                <w:rFonts w:ascii="Arial" w:hAnsi="Arial" w:cs="Arial"/>
                <w:b/>
                <w:sz w:val="20"/>
              </w:rPr>
            </w:pPr>
          </w:p>
        </w:tc>
      </w:tr>
    </w:tbl>
    <w:p w14:paraId="086110BE" w14:textId="77777777" w:rsidR="002E79E3" w:rsidRPr="00BA5E61" w:rsidRDefault="002E79E3" w:rsidP="002E79E3">
      <w:pPr>
        <w:spacing w:after="200" w:line="276" w:lineRule="auto"/>
        <w:rPr>
          <w:rFonts w:ascii="Arial" w:hAnsi="Arial" w:cs="Arial"/>
          <w:b/>
          <w:sz w:val="22"/>
          <w:szCs w:val="22"/>
        </w:rPr>
      </w:pPr>
      <w:r w:rsidRPr="00BA5E61">
        <w:rPr>
          <w:rFonts w:ascii="Arial" w:hAnsi="Arial" w:cs="Arial"/>
          <w:b/>
          <w:sz w:val="22"/>
          <w:szCs w:val="22"/>
        </w:rPr>
        <w:lastRenderedPageBreak/>
        <w:t>SECTION 6: RECOMMENDATIONS AND LESSONS LEARNED</w:t>
      </w:r>
    </w:p>
    <w:tbl>
      <w:tblPr>
        <w:tblW w:w="964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4"/>
      </w:tblGrid>
      <w:tr w:rsidR="002E79E3" w:rsidRPr="00BA5E61" w14:paraId="086110C0" w14:textId="77777777" w:rsidTr="00BA5E61">
        <w:tc>
          <w:tcPr>
            <w:tcW w:w="9644" w:type="dxa"/>
            <w:shd w:val="clear" w:color="auto" w:fill="D9D9D9"/>
          </w:tcPr>
          <w:p w14:paraId="086110BF" w14:textId="77777777" w:rsidR="002E79E3" w:rsidRPr="00BA5E61" w:rsidRDefault="002E79E3" w:rsidP="000477A3">
            <w:pPr>
              <w:spacing w:line="276" w:lineRule="auto"/>
              <w:rPr>
                <w:rFonts w:ascii="Arial" w:hAnsi="Arial" w:cs="Arial"/>
              </w:rPr>
            </w:pPr>
            <w:r w:rsidRPr="00BA5E61">
              <w:rPr>
                <w:rFonts w:ascii="Arial" w:hAnsi="Arial" w:cs="Arial"/>
                <w:sz w:val="22"/>
                <w:szCs w:val="22"/>
              </w:rPr>
              <w:t>What problems were encountered during implementation of the project, and how were such resolved?</w:t>
            </w:r>
          </w:p>
        </w:tc>
      </w:tr>
      <w:tr w:rsidR="002E79E3" w:rsidRPr="00BA5E61" w14:paraId="086110CC" w14:textId="77777777" w:rsidTr="00BA5E61">
        <w:trPr>
          <w:trHeight w:val="1271"/>
        </w:trPr>
        <w:tc>
          <w:tcPr>
            <w:tcW w:w="9644" w:type="dxa"/>
          </w:tcPr>
          <w:p w14:paraId="086110C1" w14:textId="763932E8" w:rsidR="002E79E3" w:rsidRDefault="002E79E3" w:rsidP="000477A3">
            <w:pPr>
              <w:spacing w:line="276" w:lineRule="auto"/>
              <w:rPr>
                <w:rFonts w:ascii="Arial" w:hAnsi="Arial" w:cs="Arial"/>
                <w:b/>
                <w:sz w:val="20"/>
              </w:rPr>
            </w:pPr>
            <w:r w:rsidRPr="00BA5E61">
              <w:rPr>
                <w:rFonts w:ascii="Arial" w:hAnsi="Arial" w:cs="Arial"/>
                <w:b/>
                <w:sz w:val="20"/>
              </w:rPr>
              <w:t>[expand as appropriate]</w:t>
            </w:r>
          </w:p>
          <w:p w14:paraId="0B62E499" w14:textId="77777777" w:rsidR="00D8338A" w:rsidRPr="00BA5E61" w:rsidRDefault="00D8338A" w:rsidP="000477A3">
            <w:pPr>
              <w:spacing w:line="276" w:lineRule="auto"/>
              <w:rPr>
                <w:rFonts w:ascii="Arial" w:hAnsi="Arial" w:cs="Arial"/>
                <w:b/>
                <w:sz w:val="20"/>
              </w:rPr>
            </w:pPr>
          </w:p>
          <w:p w14:paraId="6D30517D" w14:textId="61848BFB" w:rsidR="00D8338A" w:rsidRPr="00D8338A" w:rsidRDefault="00D8338A" w:rsidP="00D8338A">
            <w:pPr>
              <w:spacing w:line="276" w:lineRule="auto"/>
              <w:rPr>
                <w:rFonts w:ascii="Arial" w:hAnsi="Arial" w:cs="Arial"/>
                <w:szCs w:val="24"/>
              </w:rPr>
            </w:pPr>
            <w:r w:rsidRPr="00D8338A">
              <w:rPr>
                <w:rFonts w:ascii="Arial" w:hAnsi="Arial" w:cs="Arial"/>
                <w:szCs w:val="24"/>
              </w:rPr>
              <w:t>The main problem encountered during the pilot was the reluctance of pilot providers to commit to Health Service treatment at the rates offered. It would be unwise to match pilot rates to private rates to obtain increased volumes as this would cause an unwanted shift of private patients to the Health Service. However, given that the private market is so strong and the provider practices claim not to need Health Service work SPP</w:t>
            </w:r>
            <w:r w:rsidR="007F2ACA">
              <w:rPr>
                <w:rFonts w:ascii="Arial" w:hAnsi="Arial" w:cs="Arial"/>
                <w:szCs w:val="24"/>
              </w:rPr>
              <w:t>G</w:t>
            </w:r>
            <w:r w:rsidRPr="00D8338A">
              <w:rPr>
                <w:rFonts w:ascii="Arial" w:hAnsi="Arial" w:cs="Arial"/>
                <w:szCs w:val="24"/>
              </w:rPr>
              <w:t xml:space="preserve"> has </w:t>
            </w:r>
            <w:r w:rsidR="00496A13">
              <w:rPr>
                <w:rFonts w:ascii="Arial" w:hAnsi="Arial" w:cs="Arial"/>
                <w:szCs w:val="24"/>
              </w:rPr>
              <w:t>no/limited</w:t>
            </w:r>
            <w:r w:rsidRPr="00D8338A">
              <w:rPr>
                <w:rFonts w:ascii="Arial" w:hAnsi="Arial" w:cs="Arial"/>
                <w:szCs w:val="24"/>
              </w:rPr>
              <w:t xml:space="preserve"> bargaining power.</w:t>
            </w:r>
          </w:p>
          <w:p w14:paraId="71B31847" w14:textId="77777777" w:rsidR="00D8338A" w:rsidRPr="00D8338A" w:rsidRDefault="00D8338A" w:rsidP="00D8338A">
            <w:pPr>
              <w:spacing w:line="276" w:lineRule="auto"/>
              <w:rPr>
                <w:rFonts w:ascii="Arial" w:hAnsi="Arial" w:cs="Arial"/>
                <w:szCs w:val="24"/>
              </w:rPr>
            </w:pPr>
          </w:p>
          <w:p w14:paraId="7EB73CF9" w14:textId="77777777" w:rsidR="00D8338A" w:rsidRPr="00D8338A" w:rsidRDefault="00D8338A" w:rsidP="00D8338A">
            <w:pPr>
              <w:spacing w:line="276" w:lineRule="auto"/>
              <w:rPr>
                <w:rFonts w:ascii="Arial" w:hAnsi="Arial" w:cs="Arial"/>
                <w:szCs w:val="24"/>
              </w:rPr>
            </w:pPr>
            <w:r w:rsidRPr="00D8338A">
              <w:rPr>
                <w:rFonts w:ascii="Arial" w:hAnsi="Arial" w:cs="Arial"/>
                <w:szCs w:val="24"/>
              </w:rPr>
              <w:t xml:space="preserve">Future capacity of the pilot providers will depend on the economic climate but also other factors including the size of the workforce. As this is predominantly female it can be heavily impacted by leave including maternity leave. </w:t>
            </w:r>
          </w:p>
          <w:p w14:paraId="56AB0CEC" w14:textId="77777777" w:rsidR="00D8338A" w:rsidRPr="00D8338A" w:rsidRDefault="00D8338A" w:rsidP="00D8338A">
            <w:pPr>
              <w:spacing w:line="276" w:lineRule="auto"/>
              <w:rPr>
                <w:rFonts w:ascii="Arial" w:hAnsi="Arial" w:cs="Arial"/>
                <w:szCs w:val="24"/>
              </w:rPr>
            </w:pPr>
          </w:p>
          <w:p w14:paraId="086110C2" w14:textId="7B1BAC4C" w:rsidR="002E79E3" w:rsidRPr="00D8338A" w:rsidRDefault="00D8338A" w:rsidP="00D8338A">
            <w:pPr>
              <w:spacing w:line="276" w:lineRule="auto"/>
              <w:rPr>
                <w:rFonts w:ascii="Arial" w:hAnsi="Arial" w:cs="Arial"/>
                <w:szCs w:val="24"/>
              </w:rPr>
            </w:pPr>
            <w:r w:rsidRPr="00D8338A">
              <w:rPr>
                <w:rFonts w:ascii="Arial" w:hAnsi="Arial" w:cs="Arial"/>
                <w:szCs w:val="24"/>
              </w:rPr>
              <w:t>Discussions have been had with pilot providers regarding some contractual/operational changes which would allow them greater flexibility and may enable them to treat more patients in 2023/24 and beyond. This includes a three-year pilot contract which will provide greater security in terms of business planning and the ability to recruit and retain performers – although it is acknowledged that there is a shortage of oral surgeons in NI. It also relates to the removal of a contractual requirement for an oral surgeon to be on site at all times that a non-specialist is treating patients. A more flexible arrangement is proposed in the contract for 2023 and beyond within a robust governance framework which requires the Pilot Specialist Lead to ensure that cases are assigned to non-specialists according to their individual level of competency. This may also enable greater patient volumes.</w:t>
            </w:r>
          </w:p>
          <w:p w14:paraId="086110CB" w14:textId="77777777" w:rsidR="002E79E3" w:rsidRPr="00BA5E61" w:rsidRDefault="002E79E3" w:rsidP="000477A3">
            <w:pPr>
              <w:spacing w:line="276" w:lineRule="auto"/>
              <w:rPr>
                <w:rFonts w:ascii="Arial" w:hAnsi="Arial" w:cs="Arial"/>
                <w:sz w:val="20"/>
              </w:rPr>
            </w:pPr>
          </w:p>
        </w:tc>
      </w:tr>
    </w:tbl>
    <w:p w14:paraId="086110CD" w14:textId="77777777" w:rsidR="002E79E3" w:rsidRPr="00BA5E61" w:rsidRDefault="002E79E3" w:rsidP="002E79E3">
      <w:pPr>
        <w:spacing w:line="276" w:lineRule="auto"/>
        <w:rPr>
          <w:rFonts w:ascii="Arial" w:hAnsi="Arial" w:cs="Arial"/>
          <w:sz w:val="22"/>
          <w:szCs w:val="22"/>
        </w:rPr>
      </w:pPr>
    </w:p>
    <w:tbl>
      <w:tblPr>
        <w:tblW w:w="964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4"/>
      </w:tblGrid>
      <w:tr w:rsidR="002E79E3" w:rsidRPr="00BA5E61" w14:paraId="086110CF" w14:textId="77777777" w:rsidTr="00BA5E61">
        <w:tc>
          <w:tcPr>
            <w:tcW w:w="9644" w:type="dxa"/>
            <w:shd w:val="clear" w:color="auto" w:fill="D9D9D9"/>
          </w:tcPr>
          <w:p w14:paraId="086110CE" w14:textId="77777777" w:rsidR="002E79E3" w:rsidRPr="00BA5E61" w:rsidRDefault="002E79E3" w:rsidP="000477A3">
            <w:pPr>
              <w:spacing w:line="276" w:lineRule="auto"/>
              <w:rPr>
                <w:rFonts w:ascii="Arial" w:hAnsi="Arial" w:cs="Arial"/>
              </w:rPr>
            </w:pPr>
            <w:r w:rsidRPr="00BA5E61">
              <w:rPr>
                <w:rFonts w:ascii="Arial" w:hAnsi="Arial" w:cs="Arial"/>
                <w:sz w:val="22"/>
                <w:szCs w:val="22"/>
              </w:rPr>
              <w:t>What was learned, how has this been disseminated, and to whom? Please provide supporting evidence.</w:t>
            </w:r>
          </w:p>
        </w:tc>
      </w:tr>
      <w:tr w:rsidR="002E79E3" w:rsidRPr="00B56D6B" w14:paraId="086110D4" w14:textId="77777777" w:rsidTr="00BA5E61">
        <w:trPr>
          <w:trHeight w:val="1266"/>
        </w:trPr>
        <w:tc>
          <w:tcPr>
            <w:tcW w:w="9644" w:type="dxa"/>
          </w:tcPr>
          <w:p w14:paraId="086110D0" w14:textId="77777777" w:rsidR="002E79E3" w:rsidRPr="00B56D6B" w:rsidRDefault="002E79E3" w:rsidP="000477A3">
            <w:pPr>
              <w:spacing w:line="276" w:lineRule="auto"/>
              <w:rPr>
                <w:rFonts w:ascii="Arial" w:hAnsi="Arial" w:cs="Arial"/>
                <w:b/>
                <w:sz w:val="20"/>
              </w:rPr>
            </w:pPr>
            <w:r w:rsidRPr="00BA5E61">
              <w:rPr>
                <w:rFonts w:ascii="Arial" w:hAnsi="Arial" w:cs="Arial"/>
                <w:b/>
                <w:sz w:val="20"/>
              </w:rPr>
              <w:t>[expand as appropriate]</w:t>
            </w:r>
          </w:p>
          <w:p w14:paraId="086110D1" w14:textId="3B5419E0" w:rsidR="002E79E3" w:rsidRPr="00D8338A" w:rsidRDefault="00D8338A" w:rsidP="000477A3">
            <w:pPr>
              <w:spacing w:line="276" w:lineRule="auto"/>
              <w:rPr>
                <w:rFonts w:ascii="Arial" w:hAnsi="Arial" w:cs="Arial"/>
                <w:szCs w:val="24"/>
              </w:rPr>
            </w:pPr>
            <w:r w:rsidRPr="00D8338A">
              <w:rPr>
                <w:rFonts w:ascii="Arial" w:hAnsi="Arial" w:cs="Arial"/>
                <w:szCs w:val="24"/>
              </w:rPr>
              <w:t>This information has been discussed in Pilot team meetings and at Dental Adviser meetings. It has not been shared widely as the pilot for 2022/23 is still running but is outlined in the three-year business case for 2023/24 to 2025/26.</w:t>
            </w:r>
          </w:p>
          <w:p w14:paraId="086110D2" w14:textId="77777777" w:rsidR="002E79E3" w:rsidRPr="00B56D6B" w:rsidRDefault="002E79E3" w:rsidP="000477A3">
            <w:pPr>
              <w:spacing w:line="276" w:lineRule="auto"/>
              <w:rPr>
                <w:rFonts w:ascii="Arial" w:hAnsi="Arial" w:cs="Arial"/>
                <w:b/>
                <w:sz w:val="20"/>
              </w:rPr>
            </w:pPr>
          </w:p>
          <w:p w14:paraId="086110D3" w14:textId="77777777" w:rsidR="002E79E3" w:rsidRPr="00B56D6B" w:rsidRDefault="002E79E3" w:rsidP="000477A3">
            <w:pPr>
              <w:spacing w:line="276" w:lineRule="auto"/>
              <w:rPr>
                <w:rFonts w:ascii="Arial" w:hAnsi="Arial" w:cs="Arial"/>
                <w:sz w:val="20"/>
              </w:rPr>
            </w:pPr>
          </w:p>
        </w:tc>
      </w:tr>
      <w:bookmarkEnd w:id="0"/>
    </w:tbl>
    <w:p w14:paraId="086110D5" w14:textId="77777777" w:rsidR="00242F24" w:rsidRDefault="00242F24"/>
    <w:sectPr w:rsidR="00242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0450"/>
    <w:multiLevelType w:val="multilevel"/>
    <w:tmpl w:val="B7605336"/>
    <w:lvl w:ilvl="0">
      <w:start w:val="3"/>
      <w:numFmt w:val="decimal"/>
      <w:lvlText w:val="%1"/>
      <w:lvlJc w:val="left"/>
      <w:pPr>
        <w:ind w:left="360" w:hanging="360"/>
      </w:pPr>
      <w:rPr>
        <w:rFonts w:hint="default"/>
        <w:sz w:val="24"/>
      </w:rPr>
    </w:lvl>
    <w:lvl w:ilvl="1">
      <w:start w:val="1"/>
      <w:numFmt w:val="bullet"/>
      <w:lvlText w:val=""/>
      <w:lvlJc w:val="left"/>
      <w:pPr>
        <w:ind w:left="360" w:hanging="360"/>
      </w:pPr>
      <w:rPr>
        <w:rFonts w:ascii="Symbol" w:hAnsi="Symbol"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 w15:restartNumberingAfterBreak="0">
    <w:nsid w:val="05426FE3"/>
    <w:multiLevelType w:val="multilevel"/>
    <w:tmpl w:val="48CE8B9C"/>
    <w:lvl w:ilvl="0">
      <w:start w:val="1"/>
      <w:numFmt w:val="decimal"/>
      <w:lvlText w:val="%1.0"/>
      <w:lvlJc w:val="left"/>
      <w:pPr>
        <w:ind w:left="390" w:hanging="390"/>
      </w:pPr>
      <w:rPr>
        <w:rFonts w:hint="default"/>
        <w:b/>
        <w:color w:val="auto"/>
      </w:rPr>
    </w:lvl>
    <w:lvl w:ilvl="1">
      <w:start w:val="1"/>
      <w:numFmt w:val="bullet"/>
      <w:lvlText w:val=""/>
      <w:lvlJc w:val="left"/>
      <w:pPr>
        <w:ind w:left="1110" w:hanging="390"/>
      </w:pPr>
      <w:rPr>
        <w:rFonts w:ascii="Symbol" w:hAnsi="Symbol" w:hint="default"/>
        <w:b w:val="0"/>
        <w:color w:val="auto"/>
      </w:rPr>
    </w:lvl>
    <w:lvl w:ilvl="2">
      <w:start w:val="1"/>
      <w:numFmt w:val="decimal"/>
      <w:lvlText w:val="%1.%2.%3"/>
      <w:lvlJc w:val="left"/>
      <w:pPr>
        <w:ind w:left="2160" w:hanging="720"/>
      </w:pPr>
      <w:rPr>
        <w:rFonts w:hint="default"/>
        <w:b/>
        <w:color w:val="000080"/>
      </w:rPr>
    </w:lvl>
    <w:lvl w:ilvl="3">
      <w:start w:val="1"/>
      <w:numFmt w:val="decimal"/>
      <w:lvlText w:val="%1.%2.%3.%4"/>
      <w:lvlJc w:val="left"/>
      <w:pPr>
        <w:ind w:left="3240" w:hanging="1080"/>
      </w:pPr>
      <w:rPr>
        <w:rFonts w:hint="default"/>
        <w:b/>
        <w:color w:val="000080"/>
      </w:rPr>
    </w:lvl>
    <w:lvl w:ilvl="4">
      <w:start w:val="1"/>
      <w:numFmt w:val="decimal"/>
      <w:lvlText w:val="%1.%2.%3.%4.%5"/>
      <w:lvlJc w:val="left"/>
      <w:pPr>
        <w:ind w:left="3960" w:hanging="1080"/>
      </w:pPr>
      <w:rPr>
        <w:rFonts w:hint="default"/>
        <w:b/>
        <w:color w:val="000080"/>
      </w:rPr>
    </w:lvl>
    <w:lvl w:ilvl="5">
      <w:start w:val="1"/>
      <w:numFmt w:val="decimal"/>
      <w:lvlText w:val="%1.%2.%3.%4.%5.%6"/>
      <w:lvlJc w:val="left"/>
      <w:pPr>
        <w:ind w:left="5040" w:hanging="1440"/>
      </w:pPr>
      <w:rPr>
        <w:rFonts w:hint="default"/>
        <w:b/>
        <w:color w:val="000080"/>
      </w:rPr>
    </w:lvl>
    <w:lvl w:ilvl="6">
      <w:start w:val="1"/>
      <w:numFmt w:val="decimal"/>
      <w:lvlText w:val="%1.%2.%3.%4.%5.%6.%7"/>
      <w:lvlJc w:val="left"/>
      <w:pPr>
        <w:ind w:left="5760" w:hanging="1440"/>
      </w:pPr>
      <w:rPr>
        <w:rFonts w:hint="default"/>
        <w:b/>
        <w:color w:val="000080"/>
      </w:rPr>
    </w:lvl>
    <w:lvl w:ilvl="7">
      <w:start w:val="1"/>
      <w:numFmt w:val="decimal"/>
      <w:lvlText w:val="%1.%2.%3.%4.%5.%6.%7.%8"/>
      <w:lvlJc w:val="left"/>
      <w:pPr>
        <w:ind w:left="6840" w:hanging="1800"/>
      </w:pPr>
      <w:rPr>
        <w:rFonts w:hint="default"/>
        <w:b/>
        <w:color w:val="000080"/>
      </w:rPr>
    </w:lvl>
    <w:lvl w:ilvl="8">
      <w:start w:val="1"/>
      <w:numFmt w:val="decimal"/>
      <w:lvlText w:val="%1.%2.%3.%4.%5.%6.%7.%8.%9"/>
      <w:lvlJc w:val="left"/>
      <w:pPr>
        <w:ind w:left="7560" w:hanging="1800"/>
      </w:pPr>
      <w:rPr>
        <w:rFonts w:hint="default"/>
        <w:b/>
        <w:color w:val="000080"/>
      </w:rPr>
    </w:lvl>
  </w:abstractNum>
  <w:abstractNum w:abstractNumId="2" w15:restartNumberingAfterBreak="0">
    <w:nsid w:val="15EB03CF"/>
    <w:multiLevelType w:val="multilevel"/>
    <w:tmpl w:val="B7605336"/>
    <w:lvl w:ilvl="0">
      <w:start w:val="3"/>
      <w:numFmt w:val="decimal"/>
      <w:lvlText w:val="%1"/>
      <w:lvlJc w:val="left"/>
      <w:pPr>
        <w:ind w:left="360" w:hanging="360"/>
      </w:pPr>
      <w:rPr>
        <w:rFonts w:hint="default"/>
        <w:sz w:val="24"/>
      </w:rPr>
    </w:lvl>
    <w:lvl w:ilvl="1">
      <w:start w:val="1"/>
      <w:numFmt w:val="bullet"/>
      <w:lvlText w:val=""/>
      <w:lvlJc w:val="left"/>
      <w:pPr>
        <w:ind w:left="360" w:hanging="360"/>
      </w:pPr>
      <w:rPr>
        <w:rFonts w:ascii="Symbol" w:hAnsi="Symbol"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 w15:restartNumberingAfterBreak="0">
    <w:nsid w:val="182C7DE1"/>
    <w:multiLevelType w:val="multilevel"/>
    <w:tmpl w:val="257666F8"/>
    <w:lvl w:ilvl="0">
      <w:start w:val="1"/>
      <w:numFmt w:val="decimal"/>
      <w:lvlText w:val="%1.0"/>
      <w:lvlJc w:val="left"/>
      <w:pPr>
        <w:ind w:left="390" w:hanging="390"/>
      </w:pPr>
      <w:rPr>
        <w:rFonts w:hint="default"/>
        <w:b/>
        <w:color w:val="auto"/>
      </w:rPr>
    </w:lvl>
    <w:lvl w:ilvl="1">
      <w:start w:val="1"/>
      <w:numFmt w:val="decimal"/>
      <w:lvlText w:val="%1.%2"/>
      <w:lvlJc w:val="left"/>
      <w:pPr>
        <w:ind w:left="1110" w:hanging="390"/>
      </w:pPr>
      <w:rPr>
        <w:rFonts w:hint="default"/>
        <w:b w:val="0"/>
        <w:color w:val="auto"/>
      </w:rPr>
    </w:lvl>
    <w:lvl w:ilvl="2">
      <w:start w:val="1"/>
      <w:numFmt w:val="decimal"/>
      <w:lvlText w:val="%1.%2.%3"/>
      <w:lvlJc w:val="left"/>
      <w:pPr>
        <w:ind w:left="2160" w:hanging="720"/>
      </w:pPr>
      <w:rPr>
        <w:rFonts w:hint="default"/>
        <w:b/>
        <w:color w:val="000080"/>
      </w:rPr>
    </w:lvl>
    <w:lvl w:ilvl="3">
      <w:start w:val="1"/>
      <w:numFmt w:val="decimal"/>
      <w:lvlText w:val="%1.%2.%3.%4"/>
      <w:lvlJc w:val="left"/>
      <w:pPr>
        <w:ind w:left="3240" w:hanging="1080"/>
      </w:pPr>
      <w:rPr>
        <w:rFonts w:hint="default"/>
        <w:b/>
        <w:color w:val="000080"/>
      </w:rPr>
    </w:lvl>
    <w:lvl w:ilvl="4">
      <w:start w:val="1"/>
      <w:numFmt w:val="decimal"/>
      <w:lvlText w:val="%1.%2.%3.%4.%5"/>
      <w:lvlJc w:val="left"/>
      <w:pPr>
        <w:ind w:left="3960" w:hanging="1080"/>
      </w:pPr>
      <w:rPr>
        <w:rFonts w:hint="default"/>
        <w:b/>
        <w:color w:val="000080"/>
      </w:rPr>
    </w:lvl>
    <w:lvl w:ilvl="5">
      <w:start w:val="1"/>
      <w:numFmt w:val="decimal"/>
      <w:lvlText w:val="%1.%2.%3.%4.%5.%6"/>
      <w:lvlJc w:val="left"/>
      <w:pPr>
        <w:ind w:left="5040" w:hanging="1440"/>
      </w:pPr>
      <w:rPr>
        <w:rFonts w:hint="default"/>
        <w:b/>
        <w:color w:val="000080"/>
      </w:rPr>
    </w:lvl>
    <w:lvl w:ilvl="6">
      <w:start w:val="1"/>
      <w:numFmt w:val="decimal"/>
      <w:lvlText w:val="%1.%2.%3.%4.%5.%6.%7"/>
      <w:lvlJc w:val="left"/>
      <w:pPr>
        <w:ind w:left="5760" w:hanging="1440"/>
      </w:pPr>
      <w:rPr>
        <w:rFonts w:hint="default"/>
        <w:b/>
        <w:color w:val="000080"/>
      </w:rPr>
    </w:lvl>
    <w:lvl w:ilvl="7">
      <w:start w:val="1"/>
      <w:numFmt w:val="decimal"/>
      <w:lvlText w:val="%1.%2.%3.%4.%5.%6.%7.%8"/>
      <w:lvlJc w:val="left"/>
      <w:pPr>
        <w:ind w:left="6840" w:hanging="1800"/>
      </w:pPr>
      <w:rPr>
        <w:rFonts w:hint="default"/>
        <w:b/>
        <w:color w:val="000080"/>
      </w:rPr>
    </w:lvl>
    <w:lvl w:ilvl="8">
      <w:start w:val="1"/>
      <w:numFmt w:val="decimal"/>
      <w:lvlText w:val="%1.%2.%3.%4.%5.%6.%7.%8.%9"/>
      <w:lvlJc w:val="left"/>
      <w:pPr>
        <w:ind w:left="7560" w:hanging="1800"/>
      </w:pPr>
      <w:rPr>
        <w:rFonts w:hint="default"/>
        <w:b/>
        <w:color w:val="000080"/>
      </w:rPr>
    </w:lvl>
  </w:abstractNum>
  <w:abstractNum w:abstractNumId="4" w15:restartNumberingAfterBreak="0">
    <w:nsid w:val="1D4C20FF"/>
    <w:multiLevelType w:val="multilevel"/>
    <w:tmpl w:val="B7605336"/>
    <w:lvl w:ilvl="0">
      <w:start w:val="3"/>
      <w:numFmt w:val="decimal"/>
      <w:lvlText w:val="%1"/>
      <w:lvlJc w:val="left"/>
      <w:pPr>
        <w:ind w:left="360" w:hanging="360"/>
      </w:pPr>
      <w:rPr>
        <w:rFonts w:hint="default"/>
        <w:sz w:val="24"/>
      </w:rPr>
    </w:lvl>
    <w:lvl w:ilvl="1">
      <w:start w:val="1"/>
      <w:numFmt w:val="bullet"/>
      <w:lvlText w:val=""/>
      <w:lvlJc w:val="left"/>
      <w:pPr>
        <w:ind w:left="360" w:hanging="360"/>
      </w:pPr>
      <w:rPr>
        <w:rFonts w:ascii="Symbol" w:hAnsi="Symbol"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34E03F6D"/>
    <w:multiLevelType w:val="multilevel"/>
    <w:tmpl w:val="B7605336"/>
    <w:lvl w:ilvl="0">
      <w:start w:val="3"/>
      <w:numFmt w:val="decimal"/>
      <w:lvlText w:val="%1"/>
      <w:lvlJc w:val="left"/>
      <w:pPr>
        <w:ind w:left="360" w:hanging="360"/>
      </w:pPr>
      <w:rPr>
        <w:rFonts w:hint="default"/>
        <w:sz w:val="24"/>
      </w:rPr>
    </w:lvl>
    <w:lvl w:ilvl="1">
      <w:start w:val="1"/>
      <w:numFmt w:val="bullet"/>
      <w:lvlText w:val=""/>
      <w:lvlJc w:val="left"/>
      <w:pPr>
        <w:ind w:left="360" w:hanging="360"/>
      </w:pPr>
      <w:rPr>
        <w:rFonts w:ascii="Symbol" w:hAnsi="Symbol"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3CC63233"/>
    <w:multiLevelType w:val="multilevel"/>
    <w:tmpl w:val="B7605336"/>
    <w:lvl w:ilvl="0">
      <w:start w:val="3"/>
      <w:numFmt w:val="decimal"/>
      <w:lvlText w:val="%1"/>
      <w:lvlJc w:val="left"/>
      <w:pPr>
        <w:ind w:left="360" w:hanging="360"/>
      </w:pPr>
      <w:rPr>
        <w:rFonts w:hint="default"/>
        <w:sz w:val="24"/>
      </w:rPr>
    </w:lvl>
    <w:lvl w:ilvl="1">
      <w:start w:val="1"/>
      <w:numFmt w:val="bullet"/>
      <w:lvlText w:val=""/>
      <w:lvlJc w:val="left"/>
      <w:pPr>
        <w:ind w:left="360" w:hanging="360"/>
      </w:pPr>
      <w:rPr>
        <w:rFonts w:ascii="Symbol" w:hAnsi="Symbol"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6F3057C5"/>
    <w:multiLevelType w:val="hybridMultilevel"/>
    <w:tmpl w:val="D58A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DF557F"/>
    <w:multiLevelType w:val="hybridMultilevel"/>
    <w:tmpl w:val="59AC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6"/>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E3"/>
    <w:rsid w:val="0009276F"/>
    <w:rsid w:val="000F68F3"/>
    <w:rsid w:val="00242F24"/>
    <w:rsid w:val="002E79E3"/>
    <w:rsid w:val="00496A13"/>
    <w:rsid w:val="00536708"/>
    <w:rsid w:val="006F0B94"/>
    <w:rsid w:val="007F2ACA"/>
    <w:rsid w:val="00A004A4"/>
    <w:rsid w:val="00B30C4A"/>
    <w:rsid w:val="00B85FCB"/>
    <w:rsid w:val="00BA5E61"/>
    <w:rsid w:val="00D32F34"/>
    <w:rsid w:val="00D8338A"/>
    <w:rsid w:val="00EE407A"/>
    <w:rsid w:val="00FC6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1044"/>
  <w15:docId w15:val="{EE884A49-46F5-4277-A9A0-BD9AF4C2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9E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79E3"/>
    <w:pPr>
      <w:ind w:left="720"/>
      <w:contextualSpacing/>
    </w:pPr>
  </w:style>
  <w:style w:type="character" w:styleId="Hyperlink">
    <w:name w:val="Hyperlink"/>
    <w:basedOn w:val="DefaultParagraphFont"/>
    <w:uiPriority w:val="99"/>
    <w:rsid w:val="002E79E3"/>
    <w:rPr>
      <w:rFonts w:cs="Times New Roman"/>
      <w:color w:val="0000FF"/>
      <w:u w:val="single"/>
    </w:rPr>
  </w:style>
  <w:style w:type="paragraph" w:customStyle="1" w:styleId="OPM-text">
    <w:name w:val="OPM-text"/>
    <w:basedOn w:val="Normal"/>
    <w:rsid w:val="002E79E3"/>
    <w:rPr>
      <w:rFonts w:ascii="Arial" w:hAnsi="Arial"/>
      <w:lang w:eastAsia="en-GB"/>
    </w:rPr>
  </w:style>
  <w:style w:type="paragraph" w:customStyle="1" w:styleId="l3block">
    <w:name w:val="l3block"/>
    <w:basedOn w:val="Normal"/>
    <w:rsid w:val="002E79E3"/>
    <w:pPr>
      <w:spacing w:before="100" w:beforeAutospacing="1" w:after="100" w:afterAutospacing="1"/>
    </w:pPr>
    <w:rPr>
      <w:szCs w:val="24"/>
      <w:lang w:eastAsia="en-GB"/>
    </w:rPr>
  </w:style>
  <w:style w:type="character" w:customStyle="1" w:styleId="ListParagraphChar">
    <w:name w:val="List Paragraph Char"/>
    <w:basedOn w:val="DefaultParagraphFont"/>
    <w:link w:val="ListParagraph"/>
    <w:uiPriority w:val="34"/>
    <w:locked/>
    <w:rsid w:val="002E79E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8338A"/>
    <w:rPr>
      <w:sz w:val="16"/>
      <w:szCs w:val="16"/>
    </w:rPr>
  </w:style>
  <w:style w:type="paragraph" w:styleId="CommentText">
    <w:name w:val="annotation text"/>
    <w:basedOn w:val="Normal"/>
    <w:link w:val="CommentTextChar"/>
    <w:uiPriority w:val="99"/>
    <w:semiHidden/>
    <w:unhideWhenUsed/>
    <w:rsid w:val="00D8338A"/>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D8338A"/>
    <w:rPr>
      <w:sz w:val="20"/>
      <w:szCs w:val="20"/>
    </w:rPr>
  </w:style>
  <w:style w:type="paragraph" w:styleId="BalloonText">
    <w:name w:val="Balloon Text"/>
    <w:basedOn w:val="Normal"/>
    <w:link w:val="BalloonTextChar"/>
    <w:uiPriority w:val="99"/>
    <w:semiHidden/>
    <w:unhideWhenUsed/>
    <w:rsid w:val="00D833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3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ngland.nhs.uk/midlands/wp-content/uploads/sites/46/2022/03/East-Midlands-Intermediate-Minor-Oral-Surgery-Needs-Assessment-20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2050</Words>
  <Characters>11690</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POST PROJECT EVALUATION</vt:lpstr>
    </vt:vector>
  </TitlesOfParts>
  <Company>HSC</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PROJECT EVALUATION</dc:title>
  <dc:creator>Lisa Moran</dc:creator>
  <cp:lastModifiedBy>Laura Crawford</cp:lastModifiedBy>
  <cp:revision>2</cp:revision>
  <dcterms:created xsi:type="dcterms:W3CDTF">2025-11-05T16:11:00Z</dcterms:created>
  <dcterms:modified xsi:type="dcterms:W3CDTF">2025-11-05T16:11:00Z</dcterms:modified>
</cp:coreProperties>
</file>