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5E9" w:rsidRPr="009865E9" w:rsidRDefault="009865E9" w:rsidP="009865E9">
      <w:pPr>
        <w:pStyle w:val="NormalWeb"/>
        <w:spacing w:before="0" w:beforeAutospacing="0" w:after="180" w:afterAutospacing="0"/>
        <w:rPr>
          <w:rFonts w:ascii="Arial" w:eastAsiaTheme="minorHAnsi" w:hAnsi="Arial" w:cs="Arial"/>
          <w:sz w:val="22"/>
          <w:szCs w:val="22"/>
        </w:rPr>
      </w:pPr>
      <w:r w:rsidRPr="009865E9">
        <w:rPr>
          <w:rFonts w:ascii="Arial" w:eastAsiaTheme="minorHAnsi" w:hAnsi="Arial" w:cs="Arial"/>
          <w:color w:val="000000"/>
          <w:sz w:val="22"/>
          <w:szCs w:val="22"/>
        </w:rPr>
        <w:t>The Hospital at Home team led a multidisciplinary education initiative designed to s</w:t>
      </w:r>
      <w:r>
        <w:rPr>
          <w:rFonts w:ascii="Arial" w:eastAsiaTheme="minorHAnsi" w:hAnsi="Arial" w:cs="Arial"/>
          <w:color w:val="000000"/>
          <w:sz w:val="22"/>
          <w:szCs w:val="22"/>
        </w:rPr>
        <w:t>trengthen the capability of nursing</w:t>
      </w:r>
      <w:r w:rsidRPr="009865E9">
        <w:rPr>
          <w:rFonts w:ascii="Arial" w:eastAsiaTheme="minorHAnsi" w:hAnsi="Arial" w:cs="Arial"/>
          <w:color w:val="000000"/>
          <w:sz w:val="22"/>
          <w:szCs w:val="22"/>
        </w:rPr>
        <w:t xml:space="preserve"> home staff across the North Down and Ards area in recognising and managing the deteriorating patient. T</w:t>
      </w:r>
      <w:r>
        <w:rPr>
          <w:rFonts w:ascii="Arial" w:eastAsiaTheme="minorHAnsi" w:hAnsi="Arial" w:cs="Arial"/>
          <w:color w:val="000000"/>
          <w:sz w:val="22"/>
          <w:szCs w:val="22"/>
        </w:rPr>
        <w:t>his</w:t>
      </w:r>
      <w:r w:rsidRPr="009865E9">
        <w:rPr>
          <w:rFonts w:ascii="Arial" w:eastAsiaTheme="minorHAnsi" w:hAnsi="Arial" w:cs="Arial"/>
          <w:color w:val="000000"/>
          <w:sz w:val="22"/>
          <w:szCs w:val="22"/>
        </w:rPr>
        <w:t xml:space="preserve"> workshop brought together Clinical Nurse Facilitators, the Northern Ireland Ambulance Service (NIAS), and the Palliative Care team to provide a comprehensive, collaborative approach t</w:t>
      </w:r>
      <w:r>
        <w:rPr>
          <w:rFonts w:ascii="Arial" w:eastAsiaTheme="minorHAnsi" w:hAnsi="Arial" w:cs="Arial"/>
          <w:color w:val="000000"/>
          <w:sz w:val="22"/>
          <w:szCs w:val="22"/>
        </w:rPr>
        <w:t>o supporting nursing home residents</w:t>
      </w:r>
      <w:r w:rsidRPr="009865E9">
        <w:rPr>
          <w:rFonts w:ascii="Arial" w:eastAsiaTheme="minorHAnsi" w:hAnsi="Arial" w:cs="Arial"/>
          <w:color w:val="000000"/>
          <w:sz w:val="22"/>
          <w:szCs w:val="22"/>
        </w:rPr>
        <w:t>.</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r w:rsidRPr="009865E9">
        <w:rPr>
          <w:rFonts w:ascii="Arial" w:eastAsiaTheme="minorHAnsi" w:hAnsi="Arial" w:cs="Arial"/>
          <w:color w:val="000000"/>
          <w:sz w:val="22"/>
          <w:szCs w:val="22"/>
        </w:rPr>
        <w:t>The training focused on early identification of deterioration, appropriate escalation pathways, and clarity on when and how to seek help. Post-session evaluation demonstrated significant increases in staff confidence across all areas, alongside highly positive feedback such as “5 stars,” “very good and informative,” and “thank you for delivering a well-constructed course.”</w:t>
      </w:r>
    </w:p>
    <w:p w:rsidR="009865E9" w:rsidRDefault="009865E9" w:rsidP="009865E9">
      <w:pPr>
        <w:pStyle w:val="NormalWeb"/>
        <w:spacing w:before="0" w:beforeAutospacing="0" w:after="180" w:afterAutospacing="0"/>
        <w:rPr>
          <w:rFonts w:ascii="Arial" w:eastAsiaTheme="minorHAnsi" w:hAnsi="Arial" w:cs="Arial"/>
          <w:color w:val="000000"/>
          <w:sz w:val="22"/>
          <w:szCs w:val="22"/>
        </w:rPr>
      </w:pPr>
      <w:r w:rsidRPr="009865E9">
        <w:rPr>
          <w:rFonts w:ascii="Arial" w:eastAsiaTheme="minorHAnsi" w:hAnsi="Arial" w:cs="Arial"/>
          <w:color w:val="000000"/>
          <w:sz w:val="22"/>
          <w:szCs w:val="22"/>
        </w:rPr>
        <w:t xml:space="preserve">This initiative highlights the effectiveness of cross-sector working, enhancing workforce skills, strengthening partnerships, and supporting safer, </w:t>
      </w:r>
      <w:r w:rsidRPr="009865E9">
        <w:rPr>
          <w:rFonts w:ascii="Arial" w:eastAsiaTheme="minorHAnsi" w:hAnsi="Arial" w:cs="Arial"/>
          <w:color w:val="000000"/>
          <w:sz w:val="22"/>
          <w:szCs w:val="22"/>
        </w:rPr>
        <w:t>timelier</w:t>
      </w:r>
      <w:r w:rsidRPr="009865E9">
        <w:rPr>
          <w:rFonts w:ascii="Arial" w:eastAsiaTheme="minorHAnsi" w:hAnsi="Arial" w:cs="Arial"/>
          <w:color w:val="000000"/>
          <w:sz w:val="22"/>
          <w:szCs w:val="22"/>
        </w:rPr>
        <w:t xml:space="preserve"> intervention for some</w:t>
      </w:r>
      <w:r>
        <w:rPr>
          <w:rFonts w:ascii="Arial" w:eastAsiaTheme="minorHAnsi" w:hAnsi="Arial" w:cs="Arial"/>
          <w:color w:val="000000"/>
          <w:sz w:val="22"/>
          <w:szCs w:val="22"/>
        </w:rPr>
        <w:t xml:space="preserve"> of the most vulnerable in our community</w:t>
      </w:r>
      <w:r w:rsidRPr="009865E9">
        <w:rPr>
          <w:rFonts w:ascii="Arial" w:eastAsiaTheme="minorHAnsi" w:hAnsi="Arial" w:cs="Arial"/>
          <w:color w:val="000000"/>
          <w:sz w:val="22"/>
          <w:szCs w:val="22"/>
        </w:rPr>
        <w:t>. It offers a strong example of how collaborative education can improve outcomes and operational relationships within primary, community, and social care systems.</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p>
    <w:p w:rsidR="009865E9" w:rsidRPr="009865E9" w:rsidRDefault="009865E9" w:rsidP="009865E9">
      <w:pPr>
        <w:pStyle w:val="NormalWeb"/>
        <w:spacing w:before="0" w:beforeAutospacing="0" w:after="224" w:afterAutospacing="0"/>
        <w:rPr>
          <w:rFonts w:ascii="Arial" w:eastAsiaTheme="minorHAnsi" w:hAnsi="Arial" w:cs="Arial"/>
          <w:sz w:val="22"/>
          <w:szCs w:val="22"/>
        </w:rPr>
      </w:pPr>
      <w:r w:rsidRPr="009865E9">
        <w:rPr>
          <w:rFonts w:ascii="Arial" w:eastAsiaTheme="minorHAnsi" w:hAnsi="Arial" w:cs="Arial"/>
          <w:b/>
          <w:bCs/>
          <w:color w:val="000000"/>
          <w:sz w:val="22"/>
          <w:szCs w:val="22"/>
        </w:rPr>
        <w:t>1. Description of the Initiative</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r w:rsidRPr="009865E9">
        <w:rPr>
          <w:rFonts w:ascii="Arial" w:eastAsiaTheme="minorHAnsi" w:hAnsi="Arial" w:cs="Arial"/>
          <w:color w:val="000000"/>
          <w:sz w:val="22"/>
          <w:szCs w:val="22"/>
        </w:rPr>
        <w:t>A multidisciplinary workshop wa</w:t>
      </w:r>
      <w:r>
        <w:rPr>
          <w:rFonts w:ascii="Arial" w:eastAsiaTheme="minorHAnsi" w:hAnsi="Arial" w:cs="Arial"/>
          <w:color w:val="000000"/>
          <w:sz w:val="22"/>
          <w:szCs w:val="22"/>
        </w:rPr>
        <w:t>s designed and delivered to nursing</w:t>
      </w:r>
      <w:r w:rsidRPr="009865E9">
        <w:rPr>
          <w:rFonts w:ascii="Arial" w:eastAsiaTheme="minorHAnsi" w:hAnsi="Arial" w:cs="Arial"/>
          <w:color w:val="000000"/>
          <w:sz w:val="22"/>
          <w:szCs w:val="22"/>
        </w:rPr>
        <w:t xml:space="preserve"> home staff in the North Down and Ards locality, focusing on the management of the deteriorating patient. The aim was to enhance frontline staff’s ability to recognise early signs of deterioration, escalate appropriately, and access timely support from key clinical partners.</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r w:rsidRPr="009865E9">
        <w:rPr>
          <w:rFonts w:ascii="Arial" w:eastAsiaTheme="minorHAnsi" w:hAnsi="Arial" w:cs="Arial"/>
          <w:color w:val="000000"/>
          <w:sz w:val="22"/>
          <w:szCs w:val="22"/>
        </w:rPr>
        <w:t>The workshop covered:</w:t>
      </w:r>
    </w:p>
    <w:p w:rsidR="009865E9" w:rsidRPr="009865E9" w:rsidRDefault="009865E9" w:rsidP="009865E9">
      <w:pPr>
        <w:numPr>
          <w:ilvl w:val="0"/>
          <w:numId w:val="1"/>
        </w:numPr>
        <w:spacing w:after="180"/>
        <w:rPr>
          <w:rFonts w:ascii="Arial" w:eastAsia="Times New Roman" w:hAnsi="Arial" w:cs="Arial"/>
          <w:color w:val="000000"/>
          <w:sz w:val="22"/>
          <w:szCs w:val="22"/>
        </w:rPr>
      </w:pPr>
      <w:r w:rsidRPr="009865E9">
        <w:rPr>
          <w:rFonts w:ascii="Arial" w:hAnsi="Arial" w:cs="Arial"/>
          <w:color w:val="000000"/>
          <w:sz w:val="22"/>
          <w:szCs w:val="22"/>
        </w:rPr>
        <w:t>Early recognition of deterioration</w:t>
      </w:r>
    </w:p>
    <w:p w:rsidR="009865E9" w:rsidRPr="009865E9" w:rsidRDefault="009865E9" w:rsidP="009865E9">
      <w:pPr>
        <w:numPr>
          <w:ilvl w:val="0"/>
          <w:numId w:val="1"/>
        </w:numPr>
        <w:spacing w:after="180"/>
        <w:rPr>
          <w:rFonts w:ascii="Arial" w:hAnsi="Arial" w:cs="Arial"/>
          <w:color w:val="000000"/>
          <w:sz w:val="22"/>
          <w:szCs w:val="22"/>
        </w:rPr>
      </w:pPr>
      <w:r w:rsidRPr="009865E9">
        <w:rPr>
          <w:rFonts w:ascii="Arial" w:hAnsi="Arial" w:cs="Arial"/>
          <w:color w:val="000000"/>
          <w:sz w:val="22"/>
          <w:szCs w:val="22"/>
        </w:rPr>
        <w:t>Decision-making around escalation</w:t>
      </w:r>
    </w:p>
    <w:p w:rsidR="009865E9" w:rsidRPr="009865E9" w:rsidRDefault="009865E9" w:rsidP="009865E9">
      <w:pPr>
        <w:numPr>
          <w:ilvl w:val="0"/>
          <w:numId w:val="1"/>
        </w:numPr>
        <w:spacing w:after="180"/>
        <w:rPr>
          <w:rFonts w:ascii="Arial" w:hAnsi="Arial" w:cs="Arial"/>
          <w:color w:val="000000"/>
          <w:sz w:val="22"/>
          <w:szCs w:val="22"/>
        </w:rPr>
      </w:pPr>
      <w:r w:rsidRPr="009865E9">
        <w:rPr>
          <w:rFonts w:ascii="Arial" w:hAnsi="Arial" w:cs="Arial"/>
          <w:color w:val="000000"/>
          <w:sz w:val="22"/>
          <w:szCs w:val="22"/>
        </w:rPr>
        <w:t>Clear pathways for seeking help</w:t>
      </w:r>
    </w:p>
    <w:p w:rsidR="009865E9" w:rsidRPr="009865E9" w:rsidRDefault="009865E9" w:rsidP="009865E9">
      <w:pPr>
        <w:numPr>
          <w:ilvl w:val="0"/>
          <w:numId w:val="1"/>
        </w:numPr>
        <w:spacing w:after="180"/>
        <w:rPr>
          <w:rFonts w:ascii="Arial" w:hAnsi="Arial" w:cs="Arial"/>
          <w:color w:val="000000"/>
          <w:sz w:val="22"/>
          <w:szCs w:val="22"/>
        </w:rPr>
      </w:pPr>
      <w:r w:rsidRPr="009865E9">
        <w:rPr>
          <w:rFonts w:ascii="Arial" w:hAnsi="Arial" w:cs="Arial"/>
          <w:color w:val="000000"/>
          <w:sz w:val="22"/>
          <w:szCs w:val="22"/>
        </w:rPr>
        <w:t>Palliative considerations and end-of-life escalation</w:t>
      </w:r>
    </w:p>
    <w:p w:rsidR="009865E9" w:rsidRPr="009865E9" w:rsidRDefault="009865E9" w:rsidP="009865E9">
      <w:pPr>
        <w:numPr>
          <w:ilvl w:val="0"/>
          <w:numId w:val="1"/>
        </w:numPr>
        <w:spacing w:after="180"/>
        <w:rPr>
          <w:rFonts w:ascii="Arial" w:hAnsi="Arial" w:cs="Arial"/>
          <w:color w:val="000000"/>
          <w:sz w:val="22"/>
          <w:szCs w:val="22"/>
        </w:rPr>
      </w:pPr>
      <w:r w:rsidRPr="009865E9">
        <w:rPr>
          <w:rFonts w:ascii="Arial" w:hAnsi="Arial" w:cs="Arial"/>
          <w:color w:val="000000"/>
          <w:sz w:val="22"/>
          <w:szCs w:val="22"/>
        </w:rPr>
        <w:t>Practical case examples</w:t>
      </w:r>
    </w:p>
    <w:p w:rsidR="009865E9" w:rsidRPr="009865E9" w:rsidRDefault="009865E9" w:rsidP="009865E9">
      <w:pPr>
        <w:numPr>
          <w:ilvl w:val="0"/>
          <w:numId w:val="1"/>
        </w:numPr>
        <w:spacing w:after="180"/>
        <w:rPr>
          <w:rFonts w:ascii="Arial" w:hAnsi="Arial" w:cs="Arial"/>
          <w:color w:val="000000"/>
          <w:sz w:val="22"/>
          <w:szCs w:val="22"/>
        </w:rPr>
      </w:pPr>
      <w:r w:rsidRPr="009865E9">
        <w:rPr>
          <w:rFonts w:ascii="Arial" w:hAnsi="Arial" w:cs="Arial"/>
          <w:color w:val="000000"/>
          <w:sz w:val="22"/>
          <w:szCs w:val="22"/>
        </w:rPr>
        <w:t>Cross-disciplinary perspectives on safe, timely intervention</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p>
    <w:p w:rsidR="009865E9" w:rsidRPr="009865E9" w:rsidRDefault="009865E9" w:rsidP="009865E9">
      <w:pPr>
        <w:pStyle w:val="NormalWeb"/>
        <w:spacing w:before="0" w:beforeAutospacing="0" w:after="224" w:afterAutospacing="0"/>
        <w:rPr>
          <w:rFonts w:ascii="Arial" w:eastAsiaTheme="minorHAnsi" w:hAnsi="Arial" w:cs="Arial"/>
          <w:sz w:val="22"/>
          <w:szCs w:val="22"/>
        </w:rPr>
      </w:pPr>
      <w:r w:rsidRPr="009865E9">
        <w:rPr>
          <w:rFonts w:ascii="Arial" w:eastAsiaTheme="minorHAnsi" w:hAnsi="Arial" w:cs="Arial"/>
          <w:b/>
          <w:bCs/>
          <w:color w:val="000000"/>
          <w:sz w:val="22"/>
          <w:szCs w:val="22"/>
        </w:rPr>
        <w:t>2. Partners Involved</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r>
        <w:rPr>
          <w:rFonts w:ascii="Arial" w:eastAsiaTheme="minorHAnsi" w:hAnsi="Arial" w:cs="Arial"/>
          <w:color w:val="000000"/>
          <w:sz w:val="22"/>
          <w:szCs w:val="22"/>
        </w:rPr>
        <w:t>This</w:t>
      </w:r>
      <w:r w:rsidRPr="009865E9">
        <w:rPr>
          <w:rFonts w:ascii="Arial" w:eastAsiaTheme="minorHAnsi" w:hAnsi="Arial" w:cs="Arial"/>
          <w:color w:val="000000"/>
          <w:sz w:val="22"/>
          <w:szCs w:val="22"/>
        </w:rPr>
        <w:t xml:space="preserve"> initiative was delivered through a strong collaborative model involving:</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p>
    <w:p w:rsidR="009865E9" w:rsidRPr="009865E9" w:rsidRDefault="009865E9" w:rsidP="009865E9">
      <w:pPr>
        <w:numPr>
          <w:ilvl w:val="0"/>
          <w:numId w:val="2"/>
        </w:numPr>
        <w:spacing w:after="180"/>
        <w:rPr>
          <w:rFonts w:ascii="Arial" w:eastAsia="Times New Roman" w:hAnsi="Arial" w:cs="Arial"/>
          <w:color w:val="000000"/>
          <w:sz w:val="22"/>
          <w:szCs w:val="22"/>
        </w:rPr>
      </w:pPr>
      <w:r>
        <w:rPr>
          <w:rFonts w:ascii="Arial" w:hAnsi="Arial" w:cs="Arial"/>
          <w:color w:val="000000"/>
          <w:sz w:val="22"/>
          <w:szCs w:val="22"/>
        </w:rPr>
        <w:t>Hospital at Home Team –</w:t>
      </w:r>
      <w:r w:rsidRPr="009865E9">
        <w:rPr>
          <w:rFonts w:ascii="Arial" w:hAnsi="Arial" w:cs="Arial"/>
          <w:color w:val="000000"/>
          <w:sz w:val="22"/>
          <w:szCs w:val="22"/>
        </w:rPr>
        <w:t xml:space="preserve"> organisers, facilitators, and clinical educators</w:t>
      </w:r>
      <w:r>
        <w:rPr>
          <w:rFonts w:ascii="Arial" w:hAnsi="Arial" w:cs="Arial"/>
          <w:color w:val="000000"/>
          <w:sz w:val="22"/>
          <w:szCs w:val="22"/>
        </w:rPr>
        <w:t xml:space="preserve"> </w:t>
      </w:r>
    </w:p>
    <w:p w:rsidR="009865E9" w:rsidRPr="009865E9" w:rsidRDefault="009865E9" w:rsidP="009865E9">
      <w:pPr>
        <w:numPr>
          <w:ilvl w:val="0"/>
          <w:numId w:val="2"/>
        </w:numPr>
        <w:spacing w:after="180"/>
        <w:rPr>
          <w:rFonts w:ascii="Arial" w:hAnsi="Arial" w:cs="Arial"/>
          <w:color w:val="000000"/>
          <w:sz w:val="22"/>
          <w:szCs w:val="22"/>
        </w:rPr>
      </w:pPr>
      <w:r w:rsidRPr="009865E9">
        <w:rPr>
          <w:rFonts w:ascii="Arial" w:hAnsi="Arial" w:cs="Arial"/>
          <w:color w:val="000000"/>
          <w:sz w:val="22"/>
          <w:szCs w:val="22"/>
        </w:rPr>
        <w:t>Clinical Nurse Facilitators – organisers, facilitators, and clinical educators</w:t>
      </w:r>
    </w:p>
    <w:p w:rsidR="009865E9" w:rsidRPr="009865E9" w:rsidRDefault="009865E9" w:rsidP="009865E9">
      <w:pPr>
        <w:numPr>
          <w:ilvl w:val="0"/>
          <w:numId w:val="2"/>
        </w:numPr>
        <w:spacing w:after="180"/>
        <w:rPr>
          <w:rFonts w:ascii="Arial" w:hAnsi="Arial" w:cs="Arial"/>
          <w:color w:val="000000"/>
          <w:sz w:val="22"/>
          <w:szCs w:val="22"/>
        </w:rPr>
      </w:pPr>
      <w:r w:rsidRPr="009865E9">
        <w:rPr>
          <w:rFonts w:ascii="Arial" w:hAnsi="Arial" w:cs="Arial"/>
          <w:color w:val="000000"/>
          <w:sz w:val="22"/>
          <w:szCs w:val="22"/>
        </w:rPr>
        <w:t>Northern Ireland Ambulance Service (NIAS) – providing guidance on pre-hospital assessment and escalation</w:t>
      </w:r>
    </w:p>
    <w:p w:rsidR="009865E9" w:rsidRDefault="009865E9" w:rsidP="007E5ECF">
      <w:pPr>
        <w:numPr>
          <w:ilvl w:val="0"/>
          <w:numId w:val="2"/>
        </w:numPr>
        <w:spacing w:after="180"/>
        <w:rPr>
          <w:rFonts w:ascii="Arial" w:hAnsi="Arial" w:cs="Arial"/>
          <w:color w:val="000000"/>
          <w:sz w:val="22"/>
          <w:szCs w:val="22"/>
        </w:rPr>
      </w:pPr>
      <w:r w:rsidRPr="009865E9">
        <w:rPr>
          <w:rFonts w:ascii="Arial" w:hAnsi="Arial" w:cs="Arial"/>
          <w:color w:val="000000"/>
          <w:sz w:val="22"/>
          <w:szCs w:val="22"/>
        </w:rPr>
        <w:t>Palliative Care Team – organisers, facilitators, and clinical educators</w:t>
      </w:r>
      <w:r w:rsidRPr="009865E9">
        <w:rPr>
          <w:rFonts w:ascii="Arial" w:hAnsi="Arial" w:cs="Arial"/>
          <w:color w:val="000000"/>
          <w:sz w:val="22"/>
          <w:szCs w:val="22"/>
        </w:rPr>
        <w:t xml:space="preserve"> </w:t>
      </w:r>
    </w:p>
    <w:p w:rsidR="009865E9" w:rsidRPr="009865E9" w:rsidRDefault="009865E9" w:rsidP="007E5ECF">
      <w:pPr>
        <w:numPr>
          <w:ilvl w:val="0"/>
          <w:numId w:val="2"/>
        </w:numPr>
        <w:spacing w:after="180"/>
        <w:rPr>
          <w:rFonts w:ascii="Arial" w:hAnsi="Arial" w:cs="Arial"/>
          <w:color w:val="000000"/>
          <w:sz w:val="22"/>
          <w:szCs w:val="22"/>
        </w:rPr>
      </w:pPr>
      <w:r w:rsidRPr="009865E9">
        <w:rPr>
          <w:rFonts w:ascii="Arial" w:hAnsi="Arial" w:cs="Arial"/>
          <w:color w:val="000000"/>
          <w:sz w:val="22"/>
          <w:szCs w:val="22"/>
        </w:rPr>
        <w:t>Local Care Homes within the North Down and Ards area – participants and stakeholders in the initiative</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r w:rsidRPr="009865E9">
        <w:rPr>
          <w:rFonts w:ascii="Arial" w:eastAsiaTheme="minorHAnsi" w:hAnsi="Arial" w:cs="Arial"/>
          <w:color w:val="000000"/>
          <w:sz w:val="22"/>
          <w:szCs w:val="22"/>
        </w:rPr>
        <w:lastRenderedPageBreak/>
        <w:t>This collaboration represented acute, community, emergency, and specialist services working together with independent care providers as part of a local neighbourhood system.</w:t>
      </w:r>
    </w:p>
    <w:p w:rsidR="009865E9" w:rsidRPr="009865E9" w:rsidRDefault="009865E9" w:rsidP="009865E9">
      <w:pPr>
        <w:pStyle w:val="NormalWeb"/>
        <w:spacing w:before="0" w:beforeAutospacing="0" w:after="224" w:afterAutospacing="0"/>
        <w:rPr>
          <w:rFonts w:ascii="Arial" w:eastAsiaTheme="minorHAnsi" w:hAnsi="Arial" w:cs="Arial"/>
          <w:sz w:val="22"/>
          <w:szCs w:val="22"/>
        </w:rPr>
      </w:pPr>
      <w:r w:rsidRPr="009865E9">
        <w:rPr>
          <w:rFonts w:ascii="Arial" w:eastAsiaTheme="minorHAnsi" w:hAnsi="Arial" w:cs="Arial"/>
          <w:b/>
          <w:bCs/>
          <w:color w:val="000000"/>
          <w:sz w:val="22"/>
          <w:szCs w:val="22"/>
        </w:rPr>
        <w:t>3. Outcomes and Impact</w:t>
      </w:r>
    </w:p>
    <w:p w:rsidR="009865E9" w:rsidRPr="009865E9" w:rsidRDefault="009865E9" w:rsidP="009865E9">
      <w:pPr>
        <w:pStyle w:val="NormalWeb"/>
        <w:spacing w:before="0" w:beforeAutospacing="0" w:after="180" w:afterAutospacing="0"/>
        <w:rPr>
          <w:rFonts w:ascii="Arial" w:eastAsiaTheme="minorHAnsi" w:hAnsi="Arial" w:cs="Arial"/>
          <w:sz w:val="22"/>
          <w:szCs w:val="22"/>
        </w:rPr>
      </w:pPr>
      <w:r w:rsidRPr="009865E9">
        <w:rPr>
          <w:rFonts w:ascii="Arial" w:eastAsiaTheme="minorHAnsi" w:hAnsi="Arial" w:cs="Arial"/>
          <w:color w:val="000000"/>
          <w:sz w:val="22"/>
          <w:szCs w:val="22"/>
        </w:rPr>
        <w:t>Quantitative and qualitative outcomes included:</w:t>
      </w:r>
    </w:p>
    <w:p w:rsidR="009865E9" w:rsidRPr="009865E9" w:rsidRDefault="009865E9" w:rsidP="009865E9">
      <w:pPr>
        <w:numPr>
          <w:ilvl w:val="0"/>
          <w:numId w:val="3"/>
        </w:numPr>
        <w:spacing w:after="180"/>
        <w:rPr>
          <w:rFonts w:ascii="Arial" w:eastAsia="Times New Roman" w:hAnsi="Arial" w:cs="Arial"/>
          <w:color w:val="000000"/>
          <w:sz w:val="22"/>
          <w:szCs w:val="22"/>
        </w:rPr>
      </w:pPr>
      <w:r w:rsidRPr="009865E9">
        <w:rPr>
          <w:rFonts w:ascii="Arial" w:hAnsi="Arial" w:cs="Arial"/>
          <w:color w:val="000000"/>
          <w:sz w:val="22"/>
          <w:szCs w:val="22"/>
        </w:rPr>
        <w:t>Increased staff confidence: Measured improvements across all key domains following attendance.</w:t>
      </w:r>
    </w:p>
    <w:p w:rsidR="009865E9" w:rsidRPr="009865E9" w:rsidRDefault="009865E9" w:rsidP="009865E9">
      <w:pPr>
        <w:numPr>
          <w:ilvl w:val="0"/>
          <w:numId w:val="3"/>
        </w:numPr>
        <w:spacing w:after="180"/>
        <w:rPr>
          <w:rFonts w:ascii="Arial" w:hAnsi="Arial" w:cs="Arial"/>
          <w:color w:val="000000"/>
          <w:sz w:val="22"/>
          <w:szCs w:val="22"/>
        </w:rPr>
      </w:pPr>
      <w:r w:rsidRPr="009865E9">
        <w:rPr>
          <w:rFonts w:ascii="Arial" w:hAnsi="Arial" w:cs="Arial"/>
          <w:color w:val="000000"/>
          <w:sz w:val="22"/>
          <w:szCs w:val="22"/>
        </w:rPr>
        <w:t>Highly positive participant feedback: Notable comments included:</w:t>
      </w:r>
      <w:r w:rsidRPr="009865E9">
        <w:rPr>
          <w:rFonts w:ascii="Arial" w:hAnsi="Arial" w:cs="Arial"/>
          <w:color w:val="000000"/>
          <w:sz w:val="22"/>
          <w:szCs w:val="22"/>
        </w:rPr>
        <w:br/>
      </w:r>
    </w:p>
    <w:p w:rsidR="009865E9" w:rsidRDefault="009865E9" w:rsidP="009865E9">
      <w:pPr>
        <w:pStyle w:val="ListParagraph"/>
        <w:numPr>
          <w:ilvl w:val="0"/>
          <w:numId w:val="5"/>
        </w:numPr>
        <w:spacing w:after="180"/>
        <w:rPr>
          <w:rFonts w:ascii="Arial" w:hAnsi="Arial" w:cs="Arial"/>
          <w:color w:val="000000"/>
          <w:sz w:val="22"/>
          <w:szCs w:val="22"/>
        </w:rPr>
      </w:pPr>
      <w:r w:rsidRPr="009865E9">
        <w:rPr>
          <w:rFonts w:ascii="Arial" w:hAnsi="Arial" w:cs="Arial"/>
          <w:color w:val="000000"/>
          <w:sz w:val="22"/>
          <w:szCs w:val="22"/>
        </w:rPr>
        <w:t>“Thank you for delivering a well-constructed course.”</w:t>
      </w:r>
    </w:p>
    <w:p w:rsidR="009865E9" w:rsidRDefault="009865E9" w:rsidP="009865E9">
      <w:pPr>
        <w:pStyle w:val="ListParagraph"/>
        <w:numPr>
          <w:ilvl w:val="0"/>
          <w:numId w:val="5"/>
        </w:numPr>
        <w:spacing w:after="180"/>
        <w:rPr>
          <w:rFonts w:ascii="Arial" w:hAnsi="Arial" w:cs="Arial"/>
          <w:color w:val="000000"/>
          <w:sz w:val="22"/>
          <w:szCs w:val="22"/>
        </w:rPr>
      </w:pPr>
      <w:r w:rsidRPr="009865E9">
        <w:rPr>
          <w:rFonts w:ascii="Arial" w:hAnsi="Arial" w:cs="Arial"/>
          <w:color w:val="000000"/>
          <w:sz w:val="22"/>
          <w:szCs w:val="22"/>
        </w:rPr>
        <w:t>“5 stars.”</w:t>
      </w:r>
    </w:p>
    <w:p w:rsidR="009865E9" w:rsidRPr="009865E9" w:rsidRDefault="009865E9" w:rsidP="009865E9">
      <w:pPr>
        <w:pStyle w:val="ListParagraph"/>
        <w:numPr>
          <w:ilvl w:val="0"/>
          <w:numId w:val="5"/>
        </w:numPr>
        <w:spacing w:after="180"/>
        <w:rPr>
          <w:rFonts w:ascii="Arial" w:hAnsi="Arial" w:cs="Arial"/>
          <w:color w:val="000000"/>
          <w:sz w:val="22"/>
          <w:szCs w:val="22"/>
        </w:rPr>
      </w:pPr>
      <w:r w:rsidRPr="009865E9">
        <w:rPr>
          <w:rFonts w:ascii="Arial" w:hAnsi="Arial" w:cs="Arial"/>
          <w:color w:val="000000"/>
          <w:sz w:val="22"/>
          <w:szCs w:val="22"/>
        </w:rPr>
        <w:t>“Very good and informative.”</w:t>
      </w:r>
    </w:p>
    <w:p w:rsidR="009865E9" w:rsidRPr="009865E9" w:rsidRDefault="009865E9" w:rsidP="009865E9">
      <w:pPr>
        <w:numPr>
          <w:ilvl w:val="0"/>
          <w:numId w:val="3"/>
        </w:numPr>
        <w:spacing w:after="180"/>
        <w:rPr>
          <w:rFonts w:ascii="Arial" w:hAnsi="Arial" w:cs="Arial"/>
          <w:color w:val="000000"/>
          <w:sz w:val="22"/>
          <w:szCs w:val="22"/>
        </w:rPr>
      </w:pPr>
      <w:r w:rsidRPr="009865E9">
        <w:rPr>
          <w:rFonts w:ascii="Arial" w:hAnsi="Arial" w:cs="Arial"/>
          <w:color w:val="000000"/>
          <w:sz w:val="22"/>
          <w:szCs w:val="22"/>
        </w:rPr>
        <w:t>Enhanced u</w:t>
      </w:r>
      <w:r>
        <w:rPr>
          <w:rFonts w:ascii="Arial" w:hAnsi="Arial" w:cs="Arial"/>
          <w:color w:val="000000"/>
          <w:sz w:val="22"/>
          <w:szCs w:val="22"/>
        </w:rPr>
        <w:t>nderstanding of escalation: nursing</w:t>
      </w:r>
      <w:r w:rsidRPr="009865E9">
        <w:rPr>
          <w:rFonts w:ascii="Arial" w:hAnsi="Arial" w:cs="Arial"/>
          <w:color w:val="000000"/>
          <w:sz w:val="22"/>
          <w:szCs w:val="22"/>
        </w:rPr>
        <w:t xml:space="preserve"> home staff reported improved clarity in how and when to seek help from NIAS, Hospital at Home, GPs, and palliative care services.</w:t>
      </w:r>
    </w:p>
    <w:p w:rsidR="009865E9" w:rsidRPr="009865E9" w:rsidRDefault="009865E9" w:rsidP="009865E9">
      <w:pPr>
        <w:numPr>
          <w:ilvl w:val="0"/>
          <w:numId w:val="3"/>
        </w:numPr>
        <w:spacing w:after="180"/>
        <w:rPr>
          <w:rFonts w:ascii="Arial" w:hAnsi="Arial" w:cs="Arial"/>
          <w:color w:val="000000"/>
          <w:sz w:val="22"/>
          <w:szCs w:val="22"/>
        </w:rPr>
      </w:pPr>
      <w:r>
        <w:rPr>
          <w:rFonts w:ascii="Arial" w:hAnsi="Arial" w:cs="Arial"/>
          <w:color w:val="000000"/>
          <w:sz w:val="22"/>
          <w:szCs w:val="22"/>
        </w:rPr>
        <w:t>Strengthened</w:t>
      </w:r>
      <w:r w:rsidRPr="009865E9">
        <w:rPr>
          <w:rFonts w:ascii="Arial" w:hAnsi="Arial" w:cs="Arial"/>
          <w:color w:val="000000"/>
          <w:sz w:val="22"/>
          <w:szCs w:val="22"/>
        </w:rPr>
        <w:t xml:space="preserve"> relationships: Cross-sector understanding and communication improved, supporting more coordinated care during real clinical situations.</w:t>
      </w:r>
    </w:p>
    <w:p w:rsidR="009865E9" w:rsidRPr="009865E9" w:rsidRDefault="009865E9" w:rsidP="009865E9">
      <w:pPr>
        <w:numPr>
          <w:ilvl w:val="0"/>
          <w:numId w:val="3"/>
        </w:numPr>
        <w:spacing w:after="180"/>
        <w:rPr>
          <w:rFonts w:ascii="Arial" w:hAnsi="Arial" w:cs="Arial"/>
          <w:color w:val="000000"/>
          <w:sz w:val="22"/>
          <w:szCs w:val="22"/>
        </w:rPr>
      </w:pPr>
      <w:r w:rsidRPr="009865E9">
        <w:rPr>
          <w:rFonts w:ascii="Arial" w:hAnsi="Arial" w:cs="Arial"/>
          <w:color w:val="000000"/>
          <w:sz w:val="22"/>
          <w:szCs w:val="22"/>
        </w:rPr>
        <w:t>Potential reduction in avoidable admissions: By recognising deterioration earlier and using escalation pathways effectively, care homes are better positioned to keep residents safe in their own setting.</w:t>
      </w:r>
    </w:p>
    <w:p w:rsidR="009865E9" w:rsidRPr="009865E9" w:rsidRDefault="009865E9" w:rsidP="009865E9">
      <w:pPr>
        <w:pStyle w:val="NormalWeb"/>
        <w:spacing w:before="0" w:beforeAutospacing="0" w:after="224" w:afterAutospacing="0"/>
        <w:rPr>
          <w:rFonts w:ascii="Arial" w:eastAsiaTheme="minorHAnsi" w:hAnsi="Arial" w:cs="Arial"/>
          <w:sz w:val="22"/>
          <w:szCs w:val="22"/>
        </w:rPr>
      </w:pPr>
      <w:r w:rsidRPr="009865E9">
        <w:rPr>
          <w:rFonts w:ascii="Arial" w:eastAsiaTheme="minorHAnsi" w:hAnsi="Arial" w:cs="Arial"/>
          <w:b/>
          <w:bCs/>
          <w:color w:val="000000"/>
          <w:sz w:val="22"/>
          <w:szCs w:val="22"/>
        </w:rPr>
        <w:t>4. Key Lessons Learned</w:t>
      </w:r>
    </w:p>
    <w:p w:rsidR="009865E9" w:rsidRPr="009865E9" w:rsidRDefault="009865E9" w:rsidP="009865E9">
      <w:pPr>
        <w:numPr>
          <w:ilvl w:val="0"/>
          <w:numId w:val="4"/>
        </w:numPr>
        <w:spacing w:after="180"/>
        <w:rPr>
          <w:rFonts w:ascii="Arial" w:eastAsia="Times New Roman" w:hAnsi="Arial" w:cs="Arial"/>
          <w:color w:val="000000"/>
          <w:sz w:val="22"/>
          <w:szCs w:val="22"/>
        </w:rPr>
      </w:pPr>
      <w:r w:rsidRPr="009865E9">
        <w:rPr>
          <w:rFonts w:ascii="Arial" w:hAnsi="Arial" w:cs="Arial"/>
          <w:color w:val="000000"/>
          <w:sz w:val="22"/>
          <w:szCs w:val="22"/>
        </w:rPr>
        <w:t>Multidisciplinary delivery is essential: The combined expertise of NIAS, palliative care, CNFs, and Hospital at Home created a richer, more relevant learning experience.</w:t>
      </w:r>
    </w:p>
    <w:p w:rsidR="009865E9" w:rsidRPr="009865E9" w:rsidRDefault="009865E9" w:rsidP="009865E9">
      <w:pPr>
        <w:numPr>
          <w:ilvl w:val="0"/>
          <w:numId w:val="4"/>
        </w:numPr>
        <w:spacing w:after="180"/>
        <w:rPr>
          <w:rFonts w:ascii="Arial" w:hAnsi="Arial" w:cs="Arial"/>
          <w:color w:val="000000"/>
          <w:sz w:val="22"/>
          <w:szCs w:val="22"/>
        </w:rPr>
      </w:pPr>
      <w:r w:rsidRPr="009865E9">
        <w:rPr>
          <w:rFonts w:ascii="Arial" w:hAnsi="Arial" w:cs="Arial"/>
          <w:color w:val="000000"/>
          <w:sz w:val="22"/>
          <w:szCs w:val="22"/>
        </w:rPr>
        <w:t>Shared training fosters relationship-building, shared language, and more seamless coordination across services.</w:t>
      </w:r>
    </w:p>
    <w:p w:rsidR="009865E9" w:rsidRPr="009865E9" w:rsidRDefault="009865E9" w:rsidP="009865E9">
      <w:pPr>
        <w:numPr>
          <w:ilvl w:val="0"/>
          <w:numId w:val="4"/>
        </w:numPr>
        <w:spacing w:after="180"/>
        <w:rPr>
          <w:rFonts w:ascii="Arial" w:hAnsi="Arial" w:cs="Arial"/>
          <w:color w:val="000000"/>
          <w:sz w:val="22"/>
          <w:szCs w:val="22"/>
        </w:rPr>
      </w:pPr>
      <w:r>
        <w:rPr>
          <w:rFonts w:ascii="Arial" w:hAnsi="Arial" w:cs="Arial"/>
          <w:color w:val="000000"/>
          <w:sz w:val="22"/>
          <w:szCs w:val="22"/>
        </w:rPr>
        <w:t>Nursing</w:t>
      </w:r>
      <w:r w:rsidRPr="009865E9">
        <w:rPr>
          <w:rFonts w:ascii="Arial" w:hAnsi="Arial" w:cs="Arial"/>
          <w:color w:val="000000"/>
          <w:sz w:val="22"/>
          <w:szCs w:val="22"/>
        </w:rPr>
        <w:t xml:space="preserve"> home staff value practical, scenario-based learning: Real examples and clear, actionable guidance were consistently highlighted as most useful.</w:t>
      </w:r>
    </w:p>
    <w:p w:rsidR="009865E9" w:rsidRPr="009865E9" w:rsidRDefault="009865E9" w:rsidP="009865E9">
      <w:pPr>
        <w:numPr>
          <w:ilvl w:val="0"/>
          <w:numId w:val="4"/>
        </w:numPr>
        <w:spacing w:after="180"/>
        <w:rPr>
          <w:rFonts w:ascii="Arial" w:hAnsi="Arial" w:cs="Arial"/>
          <w:color w:val="000000"/>
          <w:sz w:val="22"/>
          <w:szCs w:val="22"/>
        </w:rPr>
      </w:pPr>
      <w:r w:rsidRPr="009865E9">
        <w:rPr>
          <w:rFonts w:ascii="Arial" w:hAnsi="Arial" w:cs="Arial"/>
          <w:color w:val="000000"/>
          <w:sz w:val="22"/>
          <w:szCs w:val="22"/>
        </w:rPr>
        <w:t>There is strong appetite for continued collaboration: Engagement levels and positive feedback suggest ongoing or recurrent training would be welcomed.</w:t>
      </w:r>
    </w:p>
    <w:p w:rsidR="009865E9" w:rsidRPr="009865E9" w:rsidRDefault="009865E9" w:rsidP="009865E9">
      <w:pPr>
        <w:numPr>
          <w:ilvl w:val="0"/>
          <w:numId w:val="4"/>
        </w:numPr>
        <w:spacing w:after="180"/>
        <w:rPr>
          <w:rFonts w:ascii="Arial" w:hAnsi="Arial" w:cs="Arial"/>
          <w:color w:val="000000"/>
          <w:sz w:val="22"/>
          <w:szCs w:val="22"/>
        </w:rPr>
      </w:pPr>
      <w:r w:rsidRPr="009865E9">
        <w:rPr>
          <w:rFonts w:ascii="Arial" w:hAnsi="Arial" w:cs="Arial"/>
          <w:color w:val="000000"/>
          <w:sz w:val="22"/>
          <w:szCs w:val="22"/>
        </w:rPr>
        <w:t>Building capability at the point of care improves outcomes: Investing in the knowled</w:t>
      </w:r>
      <w:r>
        <w:rPr>
          <w:rFonts w:ascii="Arial" w:hAnsi="Arial" w:cs="Arial"/>
          <w:color w:val="000000"/>
          <w:sz w:val="22"/>
          <w:szCs w:val="22"/>
        </w:rPr>
        <w:t>ge and confidence of nursing</w:t>
      </w:r>
      <w:bookmarkStart w:id="0" w:name="_GoBack"/>
      <w:bookmarkEnd w:id="0"/>
      <w:r w:rsidRPr="009865E9">
        <w:rPr>
          <w:rFonts w:ascii="Arial" w:hAnsi="Arial" w:cs="Arial"/>
          <w:color w:val="000000"/>
          <w:sz w:val="22"/>
          <w:szCs w:val="22"/>
        </w:rPr>
        <w:t xml:space="preserve"> home staff can prevent unnecessary transfers and promote timely, appropriate intervention.</w:t>
      </w:r>
    </w:p>
    <w:p w:rsidR="00DB61EE" w:rsidRPr="009865E9" w:rsidRDefault="009865E9" w:rsidP="009865E9">
      <w:pPr>
        <w:rPr>
          <w:rFonts w:ascii="Arial" w:hAnsi="Arial" w:cs="Arial"/>
          <w:sz w:val="22"/>
          <w:szCs w:val="22"/>
        </w:rPr>
      </w:pPr>
    </w:p>
    <w:sectPr w:rsidR="00DB61EE" w:rsidRPr="00986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BDD"/>
    <w:multiLevelType w:val="multilevel"/>
    <w:tmpl w:val="42B0A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D5C24"/>
    <w:multiLevelType w:val="multilevel"/>
    <w:tmpl w:val="1D8A9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987E2B"/>
    <w:multiLevelType w:val="multilevel"/>
    <w:tmpl w:val="25E06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3A2454"/>
    <w:multiLevelType w:val="hybridMultilevel"/>
    <w:tmpl w:val="ED00B402"/>
    <w:lvl w:ilvl="0" w:tplc="E6A84A3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C5B106A"/>
    <w:multiLevelType w:val="multilevel"/>
    <w:tmpl w:val="C8C02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E9"/>
    <w:rsid w:val="009865E9"/>
    <w:rsid w:val="00DC0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DBC0"/>
  <w15:chartTrackingRefBased/>
  <w15:docId w15:val="{EB8C379E-1F1B-4197-A52E-C9CA0194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5E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5E9"/>
    <w:pPr>
      <w:spacing w:before="100" w:beforeAutospacing="1" w:after="100" w:afterAutospacing="1"/>
    </w:pPr>
    <w:rPr>
      <w:rFonts w:eastAsia="Times New Roman"/>
    </w:rPr>
  </w:style>
  <w:style w:type="paragraph" w:styleId="ListParagraph">
    <w:name w:val="List Paragraph"/>
    <w:basedOn w:val="Normal"/>
    <w:uiPriority w:val="34"/>
    <w:qFormat/>
    <w:rsid w:val="00986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4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Debbie</dc:creator>
  <cp:keywords/>
  <dc:description/>
  <cp:lastModifiedBy>Flynn, Debbie</cp:lastModifiedBy>
  <cp:revision>1</cp:revision>
  <dcterms:created xsi:type="dcterms:W3CDTF">2025-11-17T17:17:00Z</dcterms:created>
  <dcterms:modified xsi:type="dcterms:W3CDTF">2025-11-17T17:26:00Z</dcterms:modified>
</cp:coreProperties>
</file>