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2595" w14:textId="173E6F47" w:rsidR="00677F7F" w:rsidRPr="00677F7F" w:rsidRDefault="00677F7F" w:rsidP="00677F7F"/>
    <w:p w14:paraId="719E9C7E" w14:textId="77777777" w:rsidR="00677F7F" w:rsidRPr="00677F7F" w:rsidRDefault="00677F7F" w:rsidP="00677F7F">
      <w:r w:rsidRPr="00677F7F">
        <w:t>Response to Call for Evidence: Northern Ireland Neighbourhood Model of Care</w:t>
      </w:r>
    </w:p>
    <w:p w14:paraId="6CE68608" w14:textId="4A004B56" w:rsidR="00677F7F" w:rsidRPr="00743EED" w:rsidRDefault="00677F7F" w:rsidP="001A48EC">
      <w:pPr>
        <w:pStyle w:val="ListParagraph"/>
        <w:numPr>
          <w:ilvl w:val="0"/>
          <w:numId w:val="17"/>
        </w:numPr>
        <w:rPr>
          <w:b/>
          <w:bCs/>
        </w:rPr>
      </w:pPr>
      <w:r w:rsidRPr="00743EED">
        <w:rPr>
          <w:b/>
          <w:bCs/>
        </w:rPr>
        <w:t>Introduction</w:t>
      </w:r>
    </w:p>
    <w:p w14:paraId="77C2B4C7" w14:textId="77777777" w:rsidR="0026063E" w:rsidRDefault="0026063E" w:rsidP="0026063E"/>
    <w:p w14:paraId="6650DDDE" w14:textId="039E2B7C" w:rsidR="0026063E" w:rsidRDefault="0026063E" w:rsidP="001A48EC">
      <w:r w:rsidRPr="0026063E">
        <w:t>22,000 in Northern Ireland have epilepsy</w:t>
      </w:r>
      <w:r>
        <w:t xml:space="preserve"> -</w:t>
      </w:r>
      <w:r w:rsidRPr="0026063E">
        <w:t xml:space="preserve"> 1 in 83 people, the highest prevalence in the UK.</w:t>
      </w:r>
    </w:p>
    <w:p w14:paraId="79771B05" w14:textId="684CD33E" w:rsidR="0026063E" w:rsidRDefault="001A48EC" w:rsidP="001A48EC">
      <w:r w:rsidRPr="001A48EC">
        <w:t xml:space="preserve">Epilepsy Action Northern Ireland is the leading charity supporting people affected by epilepsy across NI. </w:t>
      </w:r>
    </w:p>
    <w:p w14:paraId="58AFF522" w14:textId="69547D69" w:rsidR="001A48EC" w:rsidRPr="001A48EC" w:rsidRDefault="001A48EC" w:rsidP="001A48EC">
      <w:r w:rsidRPr="001A48EC">
        <w:t>We provide:</w:t>
      </w:r>
    </w:p>
    <w:p w14:paraId="715BFF07" w14:textId="77777777" w:rsidR="001A48EC" w:rsidRPr="001A48EC" w:rsidRDefault="001A48EC" w:rsidP="001A48EC">
      <w:pPr>
        <w:numPr>
          <w:ilvl w:val="0"/>
          <w:numId w:val="18"/>
        </w:numPr>
      </w:pPr>
      <w:r w:rsidRPr="001A48EC">
        <w:t>Information and advice through helplines, digital platforms, and accredited resources.</w:t>
      </w:r>
    </w:p>
    <w:p w14:paraId="71539C09" w14:textId="77777777" w:rsidR="001A48EC" w:rsidRPr="001A48EC" w:rsidRDefault="001A48EC" w:rsidP="001A48EC">
      <w:pPr>
        <w:numPr>
          <w:ilvl w:val="0"/>
          <w:numId w:val="18"/>
        </w:numPr>
      </w:pPr>
      <w:r w:rsidRPr="001A48EC">
        <w:t>Education and training for healthcare professionals and patients, including PIF TICK-accredited modules.</w:t>
      </w:r>
    </w:p>
    <w:p w14:paraId="2F960613" w14:textId="77777777" w:rsidR="001A48EC" w:rsidRPr="001A48EC" w:rsidRDefault="001A48EC" w:rsidP="001A48EC">
      <w:pPr>
        <w:numPr>
          <w:ilvl w:val="0"/>
          <w:numId w:val="18"/>
        </w:numPr>
      </w:pPr>
      <w:r w:rsidRPr="001A48EC">
        <w:t>Advocacy and policy engagement to improve access to services and reduce health inequalities.</w:t>
      </w:r>
    </w:p>
    <w:p w14:paraId="2973C3AC" w14:textId="4B755E81" w:rsidR="001A48EC" w:rsidRPr="001A48EC" w:rsidRDefault="001A48EC" w:rsidP="001A48EC">
      <w:pPr>
        <w:numPr>
          <w:ilvl w:val="0"/>
          <w:numId w:val="18"/>
        </w:numPr>
      </w:pPr>
      <w:r w:rsidRPr="001A48EC">
        <w:t>Community support via local groups</w:t>
      </w:r>
      <w:r w:rsidR="00743EED">
        <w:t>.</w:t>
      </w:r>
    </w:p>
    <w:p w14:paraId="59EBE6C0" w14:textId="669D6235" w:rsidR="001A48EC" w:rsidRPr="00677F7F" w:rsidRDefault="001A48EC" w:rsidP="001A48EC">
      <w:r w:rsidRPr="001A48EC">
        <w:t>Our experience in co-producing services with people living with epilepsy, combined with our digital infrastructure and education expertise, positions us as a key partner in delivering the Neighbourhood Model. We believe epilepsy care can serve as an exemplar for integrated, community-based, digitally enabled pathways that empower patients and reduce pressure on acute services.</w:t>
      </w:r>
    </w:p>
    <w:p w14:paraId="62B0CF46" w14:textId="77777777" w:rsidR="00677F7F" w:rsidRPr="00677F7F" w:rsidRDefault="00677F7F" w:rsidP="00677F7F">
      <w:r w:rsidRPr="00677F7F">
        <w:t>We welcome the Department of Health’s commitment to develop a Neighbourhood Model of Care by March 2026 as part of the strategic pillars of Stabilisation, Reform and Delivery outlined in the Three-Year Strategic Plan (2024–2027) and the Reset Plan (2025). This approach aligns with the Programme for Government priorities to reduce waiting lists, improve population health, and tackle health inequalities. Our response demonstrates how an epilepsy-focused Vanguard model can serve as an exemplar for implementing these principles, leveraging digital innovation, community partnerships, and patient empowerment.</w:t>
      </w:r>
    </w:p>
    <w:p w14:paraId="340C9FB3" w14:textId="513FB954" w:rsidR="00677F7F" w:rsidRPr="00677F7F" w:rsidRDefault="00677F7F" w:rsidP="00677F7F"/>
    <w:p w14:paraId="635765C0" w14:textId="77777777" w:rsidR="00677F7F" w:rsidRPr="00677F7F" w:rsidRDefault="00677F7F" w:rsidP="00677F7F">
      <w:pPr>
        <w:rPr>
          <w:b/>
          <w:bCs/>
        </w:rPr>
      </w:pPr>
      <w:r w:rsidRPr="00677F7F">
        <w:rPr>
          <w:b/>
          <w:bCs/>
        </w:rPr>
        <w:t>2. Policy Alignment</w:t>
      </w:r>
    </w:p>
    <w:p w14:paraId="2AE75AC8" w14:textId="77777777" w:rsidR="00677F7F" w:rsidRPr="00677F7F" w:rsidRDefault="00677F7F" w:rsidP="00677F7F">
      <w:r w:rsidRPr="00677F7F">
        <w:t>The Reset Plan and Three-Year Strategy set out key objectives:</w:t>
      </w:r>
    </w:p>
    <w:p w14:paraId="089270F1" w14:textId="4CF13DE2" w:rsidR="00677F7F" w:rsidRPr="00677F7F" w:rsidRDefault="00677F7F" w:rsidP="00677F7F">
      <w:pPr>
        <w:numPr>
          <w:ilvl w:val="0"/>
          <w:numId w:val="6"/>
        </w:numPr>
      </w:pPr>
      <w:r w:rsidRPr="00677F7F">
        <w:t>Shift care closer to home: “Moving health care closer to the home and support early intervention across primary care, community care and social care”</w:t>
      </w:r>
      <w:r w:rsidR="0026063E">
        <w:rPr>
          <w:rStyle w:val="FootnoteReference"/>
        </w:rPr>
        <w:footnoteReference w:id="1"/>
      </w:r>
      <w:r w:rsidR="0026063E">
        <w:t>.</w:t>
      </w:r>
    </w:p>
    <w:p w14:paraId="75038F8F" w14:textId="6231C349" w:rsidR="00677F7F" w:rsidRPr="00677F7F" w:rsidRDefault="00677F7F" w:rsidP="00677F7F">
      <w:pPr>
        <w:numPr>
          <w:ilvl w:val="0"/>
          <w:numId w:val="6"/>
        </w:numPr>
      </w:pPr>
      <w:r w:rsidRPr="00677F7F">
        <w:t>Neighbourhood model development: “By March 2026… we will have developed a new neighbourhood model for primary, community and social care… alongside a funding plan to support delivery from April 2026”</w:t>
      </w:r>
      <w:r w:rsidR="0026063E">
        <w:rPr>
          <w:rStyle w:val="FootnoteReference"/>
        </w:rPr>
        <w:footnoteReference w:id="2"/>
      </w:r>
      <w:r w:rsidR="0026063E">
        <w:t>.</w:t>
      </w:r>
    </w:p>
    <w:p w14:paraId="24A76221" w14:textId="6450883D" w:rsidR="00677F7F" w:rsidRPr="00677F7F" w:rsidRDefault="00677F7F" w:rsidP="00677F7F">
      <w:pPr>
        <w:numPr>
          <w:ilvl w:val="0"/>
          <w:numId w:val="6"/>
        </w:numPr>
      </w:pPr>
      <w:r w:rsidRPr="00677F7F">
        <w:lastRenderedPageBreak/>
        <w:t>Integrated MDT expansion: “Phase 1 will see £6.8m invested in 2025/26 to commence completion of the MDT model… supporting the development of the Neighbourhood model”</w:t>
      </w:r>
      <w:r w:rsidR="0026063E">
        <w:rPr>
          <w:rStyle w:val="FootnoteReference"/>
        </w:rPr>
        <w:footnoteReference w:id="3"/>
      </w:r>
      <w:r w:rsidR="0026063E">
        <w:t>.</w:t>
      </w:r>
    </w:p>
    <w:p w14:paraId="446C4529" w14:textId="2FB2C63F" w:rsidR="00677F7F" w:rsidRPr="00677F7F" w:rsidRDefault="00677F7F" w:rsidP="00677F7F">
      <w:pPr>
        <w:numPr>
          <w:ilvl w:val="0"/>
          <w:numId w:val="6"/>
        </w:numPr>
      </w:pPr>
      <w:r w:rsidRPr="00677F7F">
        <w:t>Digital transformation: “Maximising digital investment and the strategic use of data”</w:t>
      </w:r>
      <w:r w:rsidR="0026063E">
        <w:rPr>
          <w:rStyle w:val="FootnoteReference"/>
        </w:rPr>
        <w:footnoteReference w:id="4"/>
      </w:r>
      <w:r w:rsidRPr="00677F7F">
        <w:t>; “Encompass programme places NI at the forefront with a single integrated system”</w:t>
      </w:r>
      <w:r w:rsidR="0026063E">
        <w:rPr>
          <w:rStyle w:val="FootnoteReference"/>
        </w:rPr>
        <w:footnoteReference w:id="5"/>
      </w:r>
      <w:r w:rsidRPr="00677F7F">
        <w:t>.</w:t>
      </w:r>
    </w:p>
    <w:p w14:paraId="08A60014" w14:textId="0719B402" w:rsidR="00677F7F" w:rsidRPr="00677F7F" w:rsidRDefault="00677F7F" w:rsidP="00677F7F">
      <w:pPr>
        <w:numPr>
          <w:ilvl w:val="0"/>
          <w:numId w:val="6"/>
        </w:numPr>
      </w:pPr>
      <w:r w:rsidRPr="00677F7F">
        <w:t>Workforce sustainability: “Safe and effective staffing bill… rotational roles… ESN pipeline”</w:t>
      </w:r>
      <w:r w:rsidR="0026063E">
        <w:rPr>
          <w:rStyle w:val="FootnoteReference"/>
        </w:rPr>
        <w:footnoteReference w:id="6"/>
      </w:r>
      <w:r w:rsidRPr="00677F7F">
        <w:t>.</w:t>
      </w:r>
    </w:p>
    <w:p w14:paraId="635DABFF" w14:textId="7EDD74EB" w:rsidR="00677F7F" w:rsidRPr="00677F7F" w:rsidRDefault="00677F7F" w:rsidP="00677F7F">
      <w:pPr>
        <w:numPr>
          <w:ilvl w:val="0"/>
          <w:numId w:val="6"/>
        </w:numPr>
      </w:pPr>
      <w:r w:rsidRPr="00677F7F">
        <w:t>Reducing inequalities: “Targeted health support to communities which need it most through Live Better”</w:t>
      </w:r>
      <w:r w:rsidR="0026063E">
        <w:rPr>
          <w:rStyle w:val="FootnoteReference"/>
        </w:rPr>
        <w:footnoteReference w:id="7"/>
      </w:r>
      <w:r w:rsidRPr="00677F7F">
        <w:t>.</w:t>
      </w:r>
    </w:p>
    <w:p w14:paraId="1B9C4056" w14:textId="14B5B0BF" w:rsidR="00677F7F" w:rsidRPr="00677F7F" w:rsidRDefault="00677F7F" w:rsidP="00677F7F"/>
    <w:p w14:paraId="545CEFE5" w14:textId="77777777" w:rsidR="00677F7F" w:rsidRPr="00677F7F" w:rsidRDefault="00677F7F" w:rsidP="00677F7F">
      <w:pPr>
        <w:rPr>
          <w:b/>
          <w:bCs/>
        </w:rPr>
      </w:pPr>
      <w:r w:rsidRPr="00677F7F">
        <w:rPr>
          <w:b/>
          <w:bCs/>
        </w:rPr>
        <w:t>3. Neurology Review Insights</w:t>
      </w:r>
    </w:p>
    <w:p w14:paraId="0C6BF711" w14:textId="77777777" w:rsidR="00677F7F" w:rsidRPr="00677F7F" w:rsidRDefault="00677F7F" w:rsidP="00677F7F">
      <w:r w:rsidRPr="00677F7F">
        <w:t>The NI Neurology Review (2019–2025) provides critical evidence supporting the need for integrated, community-based models:</w:t>
      </w:r>
    </w:p>
    <w:p w14:paraId="24F1F69B" w14:textId="0F645AF5" w:rsidR="00677F7F" w:rsidRPr="00677F7F" w:rsidRDefault="00677F7F" w:rsidP="00677F7F">
      <w:pPr>
        <w:numPr>
          <w:ilvl w:val="0"/>
          <w:numId w:val="7"/>
        </w:numPr>
      </w:pPr>
      <w:r w:rsidRPr="00677F7F">
        <w:t>Prevalence and impact: Over 15,000 people in NI live with epilepsy, and neurological conditions account for ~15% of ED attendances and ~10% of medical admissions</w:t>
      </w:r>
      <w:r w:rsidR="0026063E">
        <w:rPr>
          <w:rStyle w:val="FootnoteReference"/>
        </w:rPr>
        <w:footnoteReference w:id="8"/>
      </w:r>
      <w:r w:rsidRPr="00677F7F">
        <w:t>.</w:t>
      </w:r>
    </w:p>
    <w:p w14:paraId="718E7152" w14:textId="7E1C7678" w:rsidR="00677F7F" w:rsidRPr="00677F7F" w:rsidRDefault="00677F7F" w:rsidP="00677F7F">
      <w:pPr>
        <w:numPr>
          <w:ilvl w:val="0"/>
          <w:numId w:val="7"/>
        </w:numPr>
      </w:pPr>
      <w:r w:rsidRPr="00677F7F">
        <w:t>Service gaps: Current outpatient-driven neurology services face workforce shortages, fragmented pathways, and inconsistent access across Trusts</w:t>
      </w:r>
      <w:r w:rsidR="0026063E">
        <w:rPr>
          <w:rStyle w:val="FootnoteReference"/>
        </w:rPr>
        <w:footnoteReference w:id="9"/>
      </w:r>
      <w:r w:rsidRPr="00677F7F">
        <w:t>.</w:t>
      </w:r>
    </w:p>
    <w:p w14:paraId="009E4EE7" w14:textId="4C96B868" w:rsidR="00677F7F" w:rsidRPr="00677F7F" w:rsidRDefault="00677F7F" w:rsidP="00677F7F">
      <w:pPr>
        <w:numPr>
          <w:ilvl w:val="0"/>
          <w:numId w:val="7"/>
        </w:numPr>
      </w:pPr>
      <w:r w:rsidRPr="00677F7F">
        <w:t>Workforce priorities: The review calls for specialist nurse expansion, rotational posts, and CPD pathways, echoing our Vanguard workforce model</w:t>
      </w:r>
      <w:r w:rsidR="0026063E">
        <w:rPr>
          <w:rStyle w:val="FootnoteReference"/>
        </w:rPr>
        <w:footnoteReference w:id="10"/>
      </w:r>
      <w:r w:rsidRPr="00677F7F">
        <w:t>.</w:t>
      </w:r>
    </w:p>
    <w:p w14:paraId="5445ADFD" w14:textId="4E422CE5" w:rsidR="00677F7F" w:rsidRPr="00677F7F" w:rsidRDefault="00677F7F" w:rsidP="00677F7F">
      <w:pPr>
        <w:numPr>
          <w:ilvl w:val="0"/>
          <w:numId w:val="7"/>
        </w:numPr>
      </w:pPr>
      <w:r w:rsidRPr="00677F7F">
        <w:t>Equity concerns: Public consultation highlights geographic and socioeconomic barriers, reinforcing the need for equity dashboards and targeted outreach</w:t>
      </w:r>
      <w:r w:rsidR="0026063E">
        <w:rPr>
          <w:rStyle w:val="FootnoteReference"/>
        </w:rPr>
        <w:footnoteReference w:id="11"/>
      </w:r>
      <w:r w:rsidRPr="00677F7F">
        <w:t>.</w:t>
      </w:r>
    </w:p>
    <w:p w14:paraId="103093FD" w14:textId="242BD64B" w:rsidR="00677F7F" w:rsidRPr="00677F7F" w:rsidRDefault="00677F7F" w:rsidP="00677F7F">
      <w:pPr>
        <w:numPr>
          <w:ilvl w:val="0"/>
          <w:numId w:val="7"/>
        </w:numPr>
      </w:pPr>
      <w:r w:rsidRPr="00677F7F">
        <w:t>Innovation imperative: Recommendations include digital-first care and community hubs to improve resource efficiency and patient experience</w:t>
      </w:r>
      <w:r w:rsidR="0026063E">
        <w:rPr>
          <w:rStyle w:val="FootnoteReference"/>
        </w:rPr>
        <w:footnoteReference w:id="12"/>
      </w:r>
      <w:r w:rsidR="0026063E">
        <w:t>.</w:t>
      </w:r>
    </w:p>
    <w:p w14:paraId="32A9FE05" w14:textId="013DF2FB" w:rsidR="00677F7F" w:rsidRPr="00677F7F" w:rsidRDefault="00677F7F" w:rsidP="00677F7F">
      <w:pPr>
        <w:numPr>
          <w:ilvl w:val="0"/>
          <w:numId w:val="7"/>
        </w:numPr>
      </w:pPr>
      <w:r w:rsidRPr="00677F7F">
        <w:t>Ministerial statement (2025): Acknowledges neurology services must be “person-centred, joined-up, responsive and suitably resourced”, but warns of resource constraints, making cost-effective models essential</w:t>
      </w:r>
      <w:r w:rsidR="0026063E">
        <w:rPr>
          <w:rStyle w:val="FootnoteReference"/>
        </w:rPr>
        <w:footnoteReference w:id="13"/>
      </w:r>
      <w:r w:rsidRPr="00677F7F">
        <w:t>.</w:t>
      </w:r>
    </w:p>
    <w:p w14:paraId="3E82C6A1" w14:textId="194A5213" w:rsidR="00677F7F" w:rsidRPr="00677F7F" w:rsidRDefault="00677F7F" w:rsidP="00677F7F"/>
    <w:p w14:paraId="5F1185C3" w14:textId="77777777" w:rsidR="001A48EC" w:rsidRPr="001A48EC" w:rsidRDefault="001A48EC" w:rsidP="001A48EC">
      <w:pPr>
        <w:rPr>
          <w:b/>
          <w:bCs/>
        </w:rPr>
      </w:pPr>
      <w:r w:rsidRPr="001A48EC">
        <w:rPr>
          <w:b/>
          <w:bCs/>
        </w:rPr>
        <w:t>4. Epilepsy Vanguard Model as an Exemplar</w:t>
      </w:r>
    </w:p>
    <w:p w14:paraId="29D1FD96" w14:textId="77777777" w:rsidR="006127F1" w:rsidRPr="006127F1" w:rsidRDefault="006127F1" w:rsidP="006127F1">
      <w:r w:rsidRPr="006127F1">
        <w:lastRenderedPageBreak/>
        <w:t>The Vanguard model for epilepsy care is designed to operationalise the principles of the Neighbourhood Model by creating a digitally enabled, community-based, person-centred pathway. Its core components include:</w:t>
      </w:r>
    </w:p>
    <w:p w14:paraId="77FA298C" w14:textId="77777777" w:rsidR="006127F1" w:rsidRPr="006127F1" w:rsidRDefault="006127F1" w:rsidP="006127F1">
      <w:r w:rsidRPr="006127F1">
        <w:t>a) Community-Based Epilepsy Hubs</w:t>
      </w:r>
    </w:p>
    <w:p w14:paraId="5318D9B1" w14:textId="77777777" w:rsidR="006127F1" w:rsidRPr="006127F1" w:rsidRDefault="006127F1" w:rsidP="006127F1">
      <w:pPr>
        <w:numPr>
          <w:ilvl w:val="0"/>
          <w:numId w:val="19"/>
        </w:numPr>
      </w:pPr>
      <w:r w:rsidRPr="006127F1">
        <w:t>Located within Primary Care Network (PCN) footprints, these hubs act as the anchor for integrated care.</w:t>
      </w:r>
    </w:p>
    <w:p w14:paraId="7B6442A0" w14:textId="77777777" w:rsidR="006127F1" w:rsidRPr="006127F1" w:rsidRDefault="006127F1" w:rsidP="006127F1">
      <w:pPr>
        <w:numPr>
          <w:ilvl w:val="0"/>
          <w:numId w:val="19"/>
        </w:numPr>
      </w:pPr>
      <w:r w:rsidRPr="006127F1">
        <w:t xml:space="preserve">Multidisciplinary teams (MDTs) include: </w:t>
      </w:r>
    </w:p>
    <w:p w14:paraId="505CE078" w14:textId="77777777" w:rsidR="006127F1" w:rsidRPr="006127F1" w:rsidRDefault="006127F1" w:rsidP="006127F1">
      <w:pPr>
        <w:numPr>
          <w:ilvl w:val="1"/>
          <w:numId w:val="19"/>
        </w:numPr>
      </w:pPr>
      <w:r w:rsidRPr="006127F1">
        <w:t>Epilepsy Specialist Nurses (ESNs)</w:t>
      </w:r>
    </w:p>
    <w:p w14:paraId="161C4E9D" w14:textId="77777777" w:rsidR="006127F1" w:rsidRPr="006127F1" w:rsidRDefault="006127F1" w:rsidP="006127F1">
      <w:pPr>
        <w:numPr>
          <w:ilvl w:val="1"/>
          <w:numId w:val="19"/>
        </w:numPr>
      </w:pPr>
      <w:r w:rsidRPr="006127F1">
        <w:t>Consultant neurologists (sessional)</w:t>
      </w:r>
    </w:p>
    <w:p w14:paraId="5700898B" w14:textId="77777777" w:rsidR="006127F1" w:rsidRPr="006127F1" w:rsidRDefault="006127F1" w:rsidP="006127F1">
      <w:pPr>
        <w:numPr>
          <w:ilvl w:val="1"/>
          <w:numId w:val="19"/>
        </w:numPr>
      </w:pPr>
      <w:r w:rsidRPr="006127F1">
        <w:t>Clinical pharmacists</w:t>
      </w:r>
    </w:p>
    <w:p w14:paraId="4AA96F4A" w14:textId="77777777" w:rsidR="006127F1" w:rsidRPr="006127F1" w:rsidRDefault="006127F1" w:rsidP="006127F1">
      <w:pPr>
        <w:numPr>
          <w:ilvl w:val="1"/>
          <w:numId w:val="19"/>
        </w:numPr>
      </w:pPr>
      <w:r w:rsidRPr="006127F1">
        <w:t>Mental health and learning disability links</w:t>
      </w:r>
    </w:p>
    <w:p w14:paraId="611F42E5" w14:textId="77777777" w:rsidR="006127F1" w:rsidRPr="006127F1" w:rsidRDefault="006127F1" w:rsidP="006127F1">
      <w:pPr>
        <w:numPr>
          <w:ilvl w:val="1"/>
          <w:numId w:val="19"/>
        </w:numPr>
      </w:pPr>
      <w:r w:rsidRPr="006127F1">
        <w:t>Social prescribers</w:t>
      </w:r>
    </w:p>
    <w:p w14:paraId="0756434E" w14:textId="77777777" w:rsidR="006127F1" w:rsidRPr="006127F1" w:rsidRDefault="006127F1" w:rsidP="006127F1">
      <w:pPr>
        <w:numPr>
          <w:ilvl w:val="0"/>
          <w:numId w:val="19"/>
        </w:numPr>
      </w:pPr>
      <w:r w:rsidRPr="006127F1">
        <w:t xml:space="preserve">Functions: </w:t>
      </w:r>
    </w:p>
    <w:p w14:paraId="1360C155" w14:textId="77777777" w:rsidR="006127F1" w:rsidRPr="006127F1" w:rsidRDefault="006127F1" w:rsidP="006127F1">
      <w:pPr>
        <w:numPr>
          <w:ilvl w:val="1"/>
          <w:numId w:val="19"/>
        </w:numPr>
      </w:pPr>
      <w:r w:rsidRPr="006127F1">
        <w:t>Community reviews and medication optimisation</w:t>
      </w:r>
    </w:p>
    <w:p w14:paraId="01E5A3FD" w14:textId="77777777" w:rsidR="006127F1" w:rsidRPr="006127F1" w:rsidRDefault="006127F1" w:rsidP="006127F1">
      <w:pPr>
        <w:numPr>
          <w:ilvl w:val="1"/>
          <w:numId w:val="19"/>
        </w:numPr>
      </w:pPr>
      <w:r w:rsidRPr="006127F1">
        <w:t>Urgent triage for breakthrough seizures</w:t>
      </w:r>
    </w:p>
    <w:p w14:paraId="61D0C6AC" w14:textId="77777777" w:rsidR="006127F1" w:rsidRPr="006127F1" w:rsidRDefault="006127F1" w:rsidP="006127F1">
      <w:pPr>
        <w:numPr>
          <w:ilvl w:val="1"/>
          <w:numId w:val="19"/>
        </w:numPr>
      </w:pPr>
      <w:r w:rsidRPr="006127F1">
        <w:t>Care planning and patient education</w:t>
      </w:r>
    </w:p>
    <w:p w14:paraId="2162A34F" w14:textId="77777777" w:rsidR="006127F1" w:rsidRPr="006127F1" w:rsidRDefault="006127F1" w:rsidP="006127F1">
      <w:pPr>
        <w:numPr>
          <w:ilvl w:val="1"/>
          <w:numId w:val="19"/>
        </w:numPr>
      </w:pPr>
      <w:r w:rsidRPr="006127F1">
        <w:t>Training bases for primary care teams and ESN workforce</w:t>
      </w:r>
    </w:p>
    <w:p w14:paraId="601FCA9D" w14:textId="77777777" w:rsidR="006127F1" w:rsidRPr="006127F1" w:rsidRDefault="006127F1" w:rsidP="006127F1">
      <w:pPr>
        <w:numPr>
          <w:ilvl w:val="0"/>
          <w:numId w:val="19"/>
        </w:numPr>
      </w:pPr>
      <w:r w:rsidRPr="006127F1">
        <w:t>Learning from Family Support Hubs: Skilled coordinators and multi-agency collaboration ensure early intervention and tailored support for those not meeting statutory thresholds—mirroring our approach to proactive epilepsy care.</w:t>
      </w:r>
    </w:p>
    <w:p w14:paraId="3EACDCBA" w14:textId="77777777" w:rsidR="006127F1" w:rsidRPr="006127F1" w:rsidRDefault="006127F1" w:rsidP="006127F1">
      <w:pPr>
        <w:numPr>
          <w:ilvl w:val="0"/>
          <w:numId w:val="19"/>
        </w:numPr>
      </w:pPr>
      <w:r w:rsidRPr="006127F1">
        <w:t>Impact: Reduces fragmented pathways, improves rapid access for treatment-resistant epilepsy, and supports local workforce development.</w:t>
      </w:r>
    </w:p>
    <w:p w14:paraId="089C906F" w14:textId="77777777" w:rsidR="006127F1" w:rsidRPr="006127F1" w:rsidRDefault="006127F1" w:rsidP="006127F1">
      <w:r w:rsidRPr="006127F1">
        <w:t>b) Digital Education and Engagement Platform</w:t>
      </w:r>
    </w:p>
    <w:p w14:paraId="795DA306" w14:textId="77777777" w:rsidR="006127F1" w:rsidRPr="006127F1" w:rsidRDefault="006127F1" w:rsidP="006127F1">
      <w:pPr>
        <w:numPr>
          <w:ilvl w:val="0"/>
          <w:numId w:val="20"/>
        </w:numPr>
      </w:pPr>
      <w:r w:rsidRPr="006127F1">
        <w:t xml:space="preserve">Led by Epilepsy Action, this platform delivers: </w:t>
      </w:r>
    </w:p>
    <w:p w14:paraId="18441FEF" w14:textId="77777777" w:rsidR="006127F1" w:rsidRPr="006127F1" w:rsidRDefault="006127F1" w:rsidP="006127F1">
      <w:pPr>
        <w:numPr>
          <w:ilvl w:val="1"/>
          <w:numId w:val="20"/>
        </w:numPr>
      </w:pPr>
      <w:r w:rsidRPr="006127F1">
        <w:t>Webinars and podcasts co-produced with clinicians and people with lived experience.</w:t>
      </w:r>
    </w:p>
    <w:p w14:paraId="0889C5F4" w14:textId="77777777" w:rsidR="006127F1" w:rsidRPr="006127F1" w:rsidRDefault="006127F1" w:rsidP="006127F1">
      <w:pPr>
        <w:numPr>
          <w:ilvl w:val="1"/>
          <w:numId w:val="20"/>
        </w:numPr>
      </w:pPr>
      <w:r w:rsidRPr="006127F1">
        <w:t>Self-directed e-learning for GPs, nurses, and patients (PIF TICK accredited).</w:t>
      </w:r>
    </w:p>
    <w:p w14:paraId="287BE8F9" w14:textId="77777777" w:rsidR="006127F1" w:rsidRPr="006127F1" w:rsidRDefault="006127F1" w:rsidP="006127F1">
      <w:pPr>
        <w:numPr>
          <w:ilvl w:val="1"/>
          <w:numId w:val="20"/>
        </w:numPr>
      </w:pPr>
      <w:r w:rsidRPr="006127F1">
        <w:t xml:space="preserve">Digital tools: </w:t>
      </w:r>
    </w:p>
    <w:p w14:paraId="34A56F4D" w14:textId="77777777" w:rsidR="006127F1" w:rsidRPr="006127F1" w:rsidRDefault="006127F1" w:rsidP="006127F1">
      <w:pPr>
        <w:numPr>
          <w:ilvl w:val="2"/>
          <w:numId w:val="20"/>
        </w:numPr>
      </w:pPr>
      <w:r w:rsidRPr="006127F1">
        <w:t>Seizure-tracking app integrated with NHS records</w:t>
      </w:r>
    </w:p>
    <w:p w14:paraId="49ABA474" w14:textId="77777777" w:rsidR="006127F1" w:rsidRPr="006127F1" w:rsidRDefault="006127F1" w:rsidP="006127F1">
      <w:pPr>
        <w:numPr>
          <w:ilvl w:val="2"/>
          <w:numId w:val="20"/>
        </w:numPr>
      </w:pPr>
      <w:r w:rsidRPr="006127F1">
        <w:t>Medication reminders and personalised dashboards</w:t>
      </w:r>
    </w:p>
    <w:p w14:paraId="58D0DAEB" w14:textId="77777777" w:rsidR="006127F1" w:rsidRPr="006127F1" w:rsidRDefault="006127F1" w:rsidP="006127F1">
      <w:pPr>
        <w:numPr>
          <w:ilvl w:val="2"/>
          <w:numId w:val="20"/>
        </w:numPr>
      </w:pPr>
      <w:r w:rsidRPr="006127F1">
        <w:t xml:space="preserve">AI-powered Epilepsy </w:t>
      </w:r>
      <w:proofErr w:type="spellStart"/>
      <w:r w:rsidRPr="006127F1">
        <w:t>ChatBot</w:t>
      </w:r>
      <w:proofErr w:type="spellEnd"/>
      <w:r w:rsidRPr="006127F1">
        <w:t xml:space="preserve"> for 24/7 guidance on triggers, medication, and signposting (clinically overseen)</w:t>
      </w:r>
    </w:p>
    <w:p w14:paraId="5F6B4EF9" w14:textId="77777777" w:rsidR="006127F1" w:rsidRPr="006127F1" w:rsidRDefault="006127F1" w:rsidP="006127F1">
      <w:pPr>
        <w:numPr>
          <w:ilvl w:val="0"/>
          <w:numId w:val="20"/>
        </w:numPr>
      </w:pPr>
      <w:r w:rsidRPr="006127F1">
        <w:t>Learning from Hubs: Virtual delivery and multilingual outreach pioneered during COVID-19 inform our inclusive digital strategy.</w:t>
      </w:r>
    </w:p>
    <w:p w14:paraId="32C18BFC" w14:textId="77777777" w:rsidR="006127F1" w:rsidRPr="006127F1" w:rsidRDefault="006127F1" w:rsidP="006127F1">
      <w:pPr>
        <w:numPr>
          <w:ilvl w:val="0"/>
          <w:numId w:val="20"/>
        </w:numPr>
      </w:pPr>
      <w:r w:rsidRPr="006127F1">
        <w:lastRenderedPageBreak/>
        <w:t>Impact: Scales education, empowers patients, and supports primary care upskilling.</w:t>
      </w:r>
    </w:p>
    <w:p w14:paraId="4624211B" w14:textId="77777777" w:rsidR="006127F1" w:rsidRPr="006127F1" w:rsidRDefault="006127F1" w:rsidP="006127F1">
      <w:r w:rsidRPr="006127F1">
        <w:t>c) Patient-Initiated Follow-Up (PIFU)</w:t>
      </w:r>
    </w:p>
    <w:p w14:paraId="7316EB7D" w14:textId="77777777" w:rsidR="006127F1" w:rsidRPr="006127F1" w:rsidRDefault="006127F1" w:rsidP="006127F1">
      <w:pPr>
        <w:numPr>
          <w:ilvl w:val="0"/>
          <w:numId w:val="21"/>
        </w:numPr>
      </w:pPr>
      <w:r w:rsidRPr="006127F1">
        <w:t>Moves away from fixed recall to patient-led follow-up.</w:t>
      </w:r>
    </w:p>
    <w:p w14:paraId="5154FCB7" w14:textId="77777777" w:rsidR="006127F1" w:rsidRPr="006127F1" w:rsidRDefault="006127F1" w:rsidP="006127F1">
      <w:pPr>
        <w:numPr>
          <w:ilvl w:val="0"/>
          <w:numId w:val="21"/>
        </w:numPr>
      </w:pPr>
      <w:r w:rsidRPr="006127F1">
        <w:t>Patients report symptoms and log seizures via apps or chatbot.</w:t>
      </w:r>
    </w:p>
    <w:p w14:paraId="446FDE4F" w14:textId="77777777" w:rsidR="006127F1" w:rsidRPr="006127F1" w:rsidRDefault="006127F1" w:rsidP="006127F1">
      <w:pPr>
        <w:numPr>
          <w:ilvl w:val="0"/>
          <w:numId w:val="21"/>
        </w:numPr>
      </w:pPr>
      <w:r w:rsidRPr="006127F1">
        <w:t>Automated alerts to ESN teams for red flags or increased seizure frequency.</w:t>
      </w:r>
    </w:p>
    <w:p w14:paraId="12B050C6" w14:textId="77777777" w:rsidR="006127F1" w:rsidRPr="006127F1" w:rsidRDefault="006127F1" w:rsidP="006127F1">
      <w:pPr>
        <w:numPr>
          <w:ilvl w:val="0"/>
          <w:numId w:val="21"/>
        </w:numPr>
      </w:pPr>
      <w:r w:rsidRPr="006127F1">
        <w:t>Care plans co-designed with patients and shared via NHS App.</w:t>
      </w:r>
    </w:p>
    <w:p w14:paraId="111767C4" w14:textId="77777777" w:rsidR="006127F1" w:rsidRPr="006127F1" w:rsidRDefault="006127F1" w:rsidP="006127F1">
      <w:pPr>
        <w:numPr>
          <w:ilvl w:val="0"/>
          <w:numId w:val="21"/>
        </w:numPr>
      </w:pPr>
      <w:r w:rsidRPr="006127F1">
        <w:t>Learning from Hubs: Co-production principles ensure care plans reflect patient priorities and cultural needs.</w:t>
      </w:r>
    </w:p>
    <w:p w14:paraId="49F487A5" w14:textId="77777777" w:rsidR="006127F1" w:rsidRPr="006127F1" w:rsidRDefault="006127F1" w:rsidP="006127F1">
      <w:pPr>
        <w:numPr>
          <w:ilvl w:val="0"/>
          <w:numId w:val="21"/>
        </w:numPr>
      </w:pPr>
      <w:r w:rsidRPr="006127F1">
        <w:t>Impact: Improves responsiveness, reduces unnecessary appointments, and promotes self-management.</w:t>
      </w:r>
    </w:p>
    <w:p w14:paraId="45049CAF" w14:textId="77777777" w:rsidR="006127F1" w:rsidRPr="006127F1" w:rsidRDefault="006127F1" w:rsidP="006127F1">
      <w:r w:rsidRPr="006127F1">
        <w:t>d) Integrated Primary Care and Urgent Response</w:t>
      </w:r>
    </w:p>
    <w:p w14:paraId="5CFBB3F3" w14:textId="77777777" w:rsidR="006127F1" w:rsidRPr="006127F1" w:rsidRDefault="006127F1" w:rsidP="006127F1">
      <w:pPr>
        <w:numPr>
          <w:ilvl w:val="0"/>
          <w:numId w:val="22"/>
        </w:numPr>
      </w:pPr>
      <w:r w:rsidRPr="006127F1">
        <w:t>Shared care protocols for stable patients.</w:t>
      </w:r>
    </w:p>
    <w:p w14:paraId="3F334AF8" w14:textId="77777777" w:rsidR="006127F1" w:rsidRPr="006127F1" w:rsidRDefault="006127F1" w:rsidP="006127F1">
      <w:pPr>
        <w:numPr>
          <w:ilvl w:val="0"/>
          <w:numId w:val="22"/>
        </w:numPr>
      </w:pPr>
      <w:r w:rsidRPr="006127F1">
        <w:t xml:space="preserve">Virtual advice line and </w:t>
      </w:r>
      <w:proofErr w:type="spellStart"/>
      <w:r w:rsidRPr="006127F1">
        <w:t>teleconsults</w:t>
      </w:r>
      <w:proofErr w:type="spellEnd"/>
      <w:r w:rsidRPr="006127F1">
        <w:t xml:space="preserve"> for GPs, 111, and EDs to reduce unnecessary attendance.</w:t>
      </w:r>
    </w:p>
    <w:p w14:paraId="2DCFCFD5" w14:textId="77777777" w:rsidR="006127F1" w:rsidRPr="006127F1" w:rsidRDefault="006127F1" w:rsidP="006127F1">
      <w:pPr>
        <w:numPr>
          <w:ilvl w:val="0"/>
          <w:numId w:val="22"/>
        </w:numPr>
      </w:pPr>
      <w:r w:rsidRPr="006127F1">
        <w:t>Rotational ESN sessions in ED to expedite discharge and improve handover.</w:t>
      </w:r>
    </w:p>
    <w:p w14:paraId="1864D9A6" w14:textId="77777777" w:rsidR="006127F1" w:rsidRPr="006127F1" w:rsidRDefault="006127F1" w:rsidP="006127F1">
      <w:pPr>
        <w:numPr>
          <w:ilvl w:val="0"/>
          <w:numId w:val="22"/>
        </w:numPr>
      </w:pPr>
      <w:r w:rsidRPr="006127F1">
        <w:t>Learning from Hubs: Multi-agency referral pathways and locality planning groups inform our escalation routes.</w:t>
      </w:r>
    </w:p>
    <w:p w14:paraId="6FFE82C7" w14:textId="77777777" w:rsidR="006127F1" w:rsidRPr="006127F1" w:rsidRDefault="006127F1" w:rsidP="006127F1">
      <w:pPr>
        <w:numPr>
          <w:ilvl w:val="0"/>
          <w:numId w:val="22"/>
        </w:numPr>
      </w:pPr>
      <w:r w:rsidRPr="006127F1">
        <w:t>Impact: Reduces emergency admissions and strengthens GP confidence in managing epilepsy.</w:t>
      </w:r>
    </w:p>
    <w:p w14:paraId="11EC0575" w14:textId="77777777" w:rsidR="006127F1" w:rsidRPr="006127F1" w:rsidRDefault="006127F1" w:rsidP="006127F1">
      <w:r w:rsidRPr="006127F1">
        <w:t>e) Workforce Transformation</w:t>
      </w:r>
    </w:p>
    <w:p w14:paraId="269A020B" w14:textId="77777777" w:rsidR="006127F1" w:rsidRPr="006127F1" w:rsidRDefault="006127F1" w:rsidP="006127F1">
      <w:pPr>
        <w:numPr>
          <w:ilvl w:val="0"/>
          <w:numId w:val="23"/>
        </w:numPr>
      </w:pPr>
      <w:r w:rsidRPr="006127F1">
        <w:t>Rotational posts across community and acute services.</w:t>
      </w:r>
    </w:p>
    <w:p w14:paraId="7D4D1DBC" w14:textId="77777777" w:rsidR="006127F1" w:rsidRPr="006127F1" w:rsidRDefault="006127F1" w:rsidP="006127F1">
      <w:pPr>
        <w:numPr>
          <w:ilvl w:val="0"/>
          <w:numId w:val="23"/>
        </w:numPr>
      </w:pPr>
      <w:r w:rsidRPr="006127F1">
        <w:t>Continuous CPD via e-learning, webinars, and mentoring.</w:t>
      </w:r>
    </w:p>
    <w:p w14:paraId="127AA8EA" w14:textId="77777777" w:rsidR="006127F1" w:rsidRPr="006127F1" w:rsidRDefault="006127F1" w:rsidP="006127F1">
      <w:pPr>
        <w:numPr>
          <w:ilvl w:val="0"/>
          <w:numId w:val="23"/>
        </w:numPr>
      </w:pPr>
      <w:r w:rsidRPr="006127F1">
        <w:t>Expansion of ESN workforce through joint posts with NHS providers.</w:t>
      </w:r>
    </w:p>
    <w:p w14:paraId="06AED6FA" w14:textId="77777777" w:rsidR="006127F1" w:rsidRPr="006127F1" w:rsidRDefault="006127F1" w:rsidP="006127F1">
      <w:pPr>
        <w:numPr>
          <w:ilvl w:val="0"/>
          <w:numId w:val="23"/>
        </w:numPr>
      </w:pPr>
      <w:r w:rsidRPr="006127F1">
        <w:t>Learning from Hubs: Workforce development and shared training models support sustainability and capacity building.</w:t>
      </w:r>
    </w:p>
    <w:p w14:paraId="7C79F09C" w14:textId="77777777" w:rsidR="006127F1" w:rsidRPr="006127F1" w:rsidRDefault="006127F1" w:rsidP="006127F1">
      <w:pPr>
        <w:numPr>
          <w:ilvl w:val="0"/>
          <w:numId w:val="23"/>
        </w:numPr>
      </w:pPr>
      <w:r w:rsidRPr="006127F1">
        <w:t>Impact: Builds sustainable workforce capacity and addresses critical gaps highlighted in NI Neurology Review.</w:t>
      </w:r>
    </w:p>
    <w:p w14:paraId="6D108EEC" w14:textId="77777777" w:rsidR="006127F1" w:rsidRPr="006127F1" w:rsidRDefault="006127F1" w:rsidP="006127F1">
      <w:r w:rsidRPr="006127F1">
        <w:t>f) Equity and Outcomes</w:t>
      </w:r>
    </w:p>
    <w:p w14:paraId="2F47F67C" w14:textId="77777777" w:rsidR="006127F1" w:rsidRPr="006127F1" w:rsidRDefault="006127F1" w:rsidP="006127F1">
      <w:pPr>
        <w:numPr>
          <w:ilvl w:val="0"/>
          <w:numId w:val="24"/>
        </w:numPr>
      </w:pPr>
      <w:r w:rsidRPr="006127F1">
        <w:t>Incorporates Family Support Hub lessons on multilingual resources and inclusive outreach.</w:t>
      </w:r>
    </w:p>
    <w:p w14:paraId="76C7CB89" w14:textId="2A69BC21" w:rsidR="006127F1" w:rsidRPr="006127F1" w:rsidRDefault="006127F1" w:rsidP="006127F1">
      <w:pPr>
        <w:numPr>
          <w:ilvl w:val="0"/>
          <w:numId w:val="24"/>
        </w:numPr>
      </w:pPr>
      <w:r w:rsidRPr="006127F1">
        <w:t xml:space="preserve">Adopts an Outcomes Framework aligned with </w:t>
      </w:r>
      <w:r>
        <w:t>the Children and Young People’s Strategic Partnership (</w:t>
      </w:r>
      <w:r w:rsidRPr="006127F1">
        <w:t>CYPSP</w:t>
      </w:r>
      <w:r>
        <w:t>)</w:t>
      </w:r>
      <w:r w:rsidRPr="006127F1">
        <w:t xml:space="preserve"> 2022 model, tracking access, engagement, and health inequalities.</w:t>
      </w:r>
    </w:p>
    <w:p w14:paraId="69D83476" w14:textId="77777777" w:rsidR="006127F1" w:rsidRPr="006127F1" w:rsidRDefault="006127F1" w:rsidP="006127F1">
      <w:pPr>
        <w:numPr>
          <w:ilvl w:val="0"/>
          <w:numId w:val="24"/>
        </w:numPr>
      </w:pPr>
      <w:r w:rsidRPr="006127F1">
        <w:t>Impact: Ensures equitable access and measurable improvement for underserved communities.</w:t>
      </w:r>
    </w:p>
    <w:p w14:paraId="624482EB" w14:textId="533B6FB4" w:rsidR="00677F7F" w:rsidRPr="00677F7F" w:rsidRDefault="00677F7F" w:rsidP="00677F7F"/>
    <w:p w14:paraId="795F5EB0" w14:textId="77777777" w:rsidR="00677F7F" w:rsidRPr="00677F7F" w:rsidRDefault="00677F7F" w:rsidP="00677F7F">
      <w:pPr>
        <w:rPr>
          <w:b/>
          <w:bCs/>
        </w:rPr>
      </w:pPr>
      <w:r w:rsidRPr="00677F7F">
        <w:rPr>
          <w:b/>
          <w:bCs/>
        </w:rPr>
        <w:t>5. Proposed Features for the Neighbourhood Model</w:t>
      </w:r>
    </w:p>
    <w:p w14:paraId="5AC086AA" w14:textId="77777777" w:rsidR="00677F7F" w:rsidRPr="00677F7F" w:rsidRDefault="00677F7F" w:rsidP="00677F7F">
      <w:pPr>
        <w:numPr>
          <w:ilvl w:val="0"/>
          <w:numId w:val="9"/>
        </w:numPr>
      </w:pPr>
      <w:r w:rsidRPr="00677F7F">
        <w:t>Integrated Community Hubs: Co-designed with voluntary sector partners, delivering holistic care for chronic conditions.</w:t>
      </w:r>
    </w:p>
    <w:p w14:paraId="26FB03FF" w14:textId="77777777" w:rsidR="00677F7F" w:rsidRPr="00677F7F" w:rsidRDefault="00677F7F" w:rsidP="00677F7F">
      <w:pPr>
        <w:numPr>
          <w:ilvl w:val="0"/>
          <w:numId w:val="9"/>
        </w:numPr>
      </w:pPr>
      <w:r w:rsidRPr="00677F7F">
        <w:t>Digital-first engagement: Incorporate encompass and Epilepsy Action’s tools for seamless record integration.</w:t>
      </w:r>
    </w:p>
    <w:p w14:paraId="06D5181F" w14:textId="77777777" w:rsidR="00677F7F" w:rsidRPr="00677F7F" w:rsidRDefault="00677F7F" w:rsidP="00677F7F">
      <w:pPr>
        <w:numPr>
          <w:ilvl w:val="0"/>
          <w:numId w:val="9"/>
        </w:numPr>
      </w:pPr>
      <w:r w:rsidRPr="00677F7F">
        <w:t>Patient-led care: Expand PIFU and self-management pathways for long-term conditions.</w:t>
      </w:r>
    </w:p>
    <w:p w14:paraId="380AFF81" w14:textId="77777777" w:rsidR="00677F7F" w:rsidRPr="00677F7F" w:rsidRDefault="00677F7F" w:rsidP="00677F7F">
      <w:pPr>
        <w:numPr>
          <w:ilvl w:val="0"/>
          <w:numId w:val="9"/>
        </w:numPr>
      </w:pPr>
      <w:r w:rsidRPr="00677F7F">
        <w:t>Equity dashboard: Monitor access and outcomes by deprivation, ethnicity, and complexity.</w:t>
      </w:r>
    </w:p>
    <w:p w14:paraId="18F8D214" w14:textId="77777777" w:rsidR="00677F7F" w:rsidRPr="00677F7F" w:rsidRDefault="00677F7F" w:rsidP="00677F7F">
      <w:pPr>
        <w:numPr>
          <w:ilvl w:val="0"/>
          <w:numId w:val="9"/>
        </w:numPr>
      </w:pPr>
      <w:r w:rsidRPr="00677F7F">
        <w:t>Evaluation framework: Metrics on ED attendances, waiting times, digital engagement, patient experience, and ROI.</w:t>
      </w:r>
    </w:p>
    <w:p w14:paraId="1CA0176B" w14:textId="2A392D33" w:rsidR="00677F7F" w:rsidRPr="00677F7F" w:rsidRDefault="00677F7F" w:rsidP="00677F7F"/>
    <w:p w14:paraId="44AF28A8" w14:textId="77777777" w:rsidR="00677F7F" w:rsidRPr="00677F7F" w:rsidRDefault="00677F7F" w:rsidP="00677F7F">
      <w:pPr>
        <w:rPr>
          <w:b/>
          <w:bCs/>
        </w:rPr>
      </w:pPr>
      <w:r w:rsidRPr="00677F7F">
        <w:rPr>
          <w:b/>
          <w:bCs/>
        </w:rPr>
        <w:t>6. Outcomes and Benefits</w:t>
      </w:r>
    </w:p>
    <w:p w14:paraId="0EB78522" w14:textId="77777777" w:rsidR="00677F7F" w:rsidRPr="00677F7F" w:rsidRDefault="00677F7F" w:rsidP="00677F7F">
      <w:pPr>
        <w:numPr>
          <w:ilvl w:val="0"/>
          <w:numId w:val="10"/>
        </w:numPr>
      </w:pPr>
      <w:r w:rsidRPr="00677F7F">
        <w:t>Clinical: Reduced ED visits, improved seizure control, lower SUDEP risk.</w:t>
      </w:r>
    </w:p>
    <w:p w14:paraId="317B237F" w14:textId="77777777" w:rsidR="00677F7F" w:rsidRPr="00677F7F" w:rsidRDefault="00677F7F" w:rsidP="00677F7F">
      <w:pPr>
        <w:numPr>
          <w:ilvl w:val="0"/>
          <w:numId w:val="10"/>
        </w:numPr>
      </w:pPr>
      <w:r w:rsidRPr="00677F7F">
        <w:t>Workforce: Sustainable ESN pipeline and freed-up specialist capacity.</w:t>
      </w:r>
    </w:p>
    <w:p w14:paraId="5C0D972D" w14:textId="77777777" w:rsidR="00677F7F" w:rsidRPr="00677F7F" w:rsidRDefault="00677F7F" w:rsidP="00677F7F">
      <w:pPr>
        <w:numPr>
          <w:ilvl w:val="0"/>
          <w:numId w:val="10"/>
        </w:numPr>
      </w:pPr>
      <w:r w:rsidRPr="00677F7F">
        <w:t>Digital &amp; Education: Scalable learning impact and improved patient engagement.</w:t>
      </w:r>
    </w:p>
    <w:p w14:paraId="106D8399" w14:textId="77777777" w:rsidR="00677F7F" w:rsidRPr="00677F7F" w:rsidRDefault="00677F7F" w:rsidP="00677F7F">
      <w:pPr>
        <w:numPr>
          <w:ilvl w:val="0"/>
          <w:numId w:val="10"/>
        </w:numPr>
      </w:pPr>
      <w:r w:rsidRPr="00677F7F">
        <w:t>Equity: Targeted outreach for underserved groups.</w:t>
      </w:r>
    </w:p>
    <w:p w14:paraId="545E4DC9" w14:textId="77777777" w:rsidR="00677F7F" w:rsidRPr="00677F7F" w:rsidRDefault="00677F7F" w:rsidP="00677F7F">
      <w:pPr>
        <w:numPr>
          <w:ilvl w:val="0"/>
          <w:numId w:val="10"/>
        </w:numPr>
      </w:pPr>
      <w:r w:rsidRPr="00677F7F">
        <w:t>Financial: Community investment offset by reduced acute costs within 18–24 months.</w:t>
      </w:r>
    </w:p>
    <w:p w14:paraId="40DB039E" w14:textId="11CD979F" w:rsidR="00677F7F" w:rsidRPr="00677F7F" w:rsidRDefault="00677F7F" w:rsidP="00677F7F"/>
    <w:p w14:paraId="2D2697F2" w14:textId="77777777" w:rsidR="00677F7F" w:rsidRPr="00677F7F" w:rsidRDefault="00677F7F" w:rsidP="00677F7F">
      <w:pPr>
        <w:rPr>
          <w:b/>
          <w:bCs/>
        </w:rPr>
      </w:pPr>
      <w:r w:rsidRPr="00677F7F">
        <w:rPr>
          <w:b/>
          <w:bCs/>
        </w:rPr>
        <w:t>7. Recommendations</w:t>
      </w:r>
    </w:p>
    <w:p w14:paraId="3C9FE6B2" w14:textId="77777777" w:rsidR="00677F7F" w:rsidRPr="00677F7F" w:rsidRDefault="00677F7F" w:rsidP="00677F7F">
      <w:pPr>
        <w:numPr>
          <w:ilvl w:val="0"/>
          <w:numId w:val="11"/>
        </w:numPr>
      </w:pPr>
      <w:r w:rsidRPr="00677F7F">
        <w:t>Pilot epilepsy hubs as a testbed for Neighbourhood Model principles by 2026.</w:t>
      </w:r>
    </w:p>
    <w:p w14:paraId="5D6214F4" w14:textId="6E37E3B4" w:rsidR="00677F7F" w:rsidRPr="00677F7F" w:rsidRDefault="00677F7F" w:rsidP="00677F7F">
      <w:pPr>
        <w:numPr>
          <w:ilvl w:val="0"/>
          <w:numId w:val="11"/>
        </w:numPr>
      </w:pPr>
      <w:r w:rsidRPr="00677F7F">
        <w:t>Invest in digital platforms and AI tools for scalable patient empowerment, aligned with NI Digital Strategy (2022–2030)</w:t>
      </w:r>
      <w:r w:rsidR="0026063E">
        <w:rPr>
          <w:rStyle w:val="FootnoteReference"/>
        </w:rPr>
        <w:footnoteReference w:id="14"/>
      </w:r>
      <w:r w:rsidRPr="00677F7F">
        <w:t>.</w:t>
      </w:r>
    </w:p>
    <w:p w14:paraId="16CAA9C3" w14:textId="77777777" w:rsidR="00677F7F" w:rsidRPr="00677F7F" w:rsidRDefault="00677F7F" w:rsidP="00677F7F">
      <w:pPr>
        <w:numPr>
          <w:ilvl w:val="0"/>
          <w:numId w:val="11"/>
        </w:numPr>
      </w:pPr>
      <w:r w:rsidRPr="00677F7F">
        <w:t>Embed workforce development and equity monitoring from the outset.</w:t>
      </w:r>
    </w:p>
    <w:p w14:paraId="77DF5E80" w14:textId="77777777" w:rsidR="00677F7F" w:rsidRPr="00677F7F" w:rsidRDefault="00677F7F" w:rsidP="00677F7F">
      <w:pPr>
        <w:numPr>
          <w:ilvl w:val="0"/>
          <w:numId w:val="11"/>
        </w:numPr>
      </w:pPr>
      <w:r w:rsidRPr="00677F7F">
        <w:t>Use epilepsy as a case study for continuous improvement and system learning, informing wider roll-out across chronic conditions.</w:t>
      </w:r>
    </w:p>
    <w:p w14:paraId="4F394B56" w14:textId="3A8EC2A2" w:rsidR="00677F7F" w:rsidRPr="00677F7F" w:rsidRDefault="00677F7F" w:rsidP="00677F7F"/>
    <w:p w14:paraId="640BFF60" w14:textId="77777777" w:rsidR="00677F7F" w:rsidRPr="00677F7F" w:rsidRDefault="00677F7F" w:rsidP="00677F7F">
      <w:pPr>
        <w:rPr>
          <w:b/>
          <w:bCs/>
        </w:rPr>
      </w:pPr>
      <w:r w:rsidRPr="00677F7F">
        <w:rPr>
          <w:b/>
          <w:bCs/>
        </w:rPr>
        <w:t>8. Conclusion</w:t>
      </w:r>
    </w:p>
    <w:p w14:paraId="5EA80385" w14:textId="6F6B3838" w:rsidR="00525D97" w:rsidRPr="00677F7F" w:rsidRDefault="00677F7F" w:rsidP="00677F7F">
      <w:r w:rsidRPr="00677F7F">
        <w:t>The Neighbourhood Model offers a transformative opportunity to deliver care closer to home, improve outcomes, and reduce inequalities. Epilepsy provides a practical, evidence-based pathway to demonstrate these principles in action, leveraging digital innovation, community partnerships, and patient empowerment—fully aligned with NI’s Reset Plan, Three-Year Strategy, and Neurology Review priorities.</w:t>
      </w:r>
    </w:p>
    <w:sectPr w:rsidR="00525D97" w:rsidRPr="00677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D74A" w14:textId="77777777" w:rsidR="00D305D7" w:rsidRDefault="00D305D7" w:rsidP="0026063E">
      <w:pPr>
        <w:spacing w:after="0" w:line="240" w:lineRule="auto"/>
      </w:pPr>
      <w:r>
        <w:separator/>
      </w:r>
    </w:p>
  </w:endnote>
  <w:endnote w:type="continuationSeparator" w:id="0">
    <w:p w14:paraId="70A2A907" w14:textId="77777777" w:rsidR="00D305D7" w:rsidRDefault="00D305D7" w:rsidP="0026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4404" w14:textId="77777777" w:rsidR="00D305D7" w:rsidRDefault="00D305D7" w:rsidP="0026063E">
      <w:pPr>
        <w:spacing w:after="0" w:line="240" w:lineRule="auto"/>
      </w:pPr>
      <w:r>
        <w:separator/>
      </w:r>
    </w:p>
  </w:footnote>
  <w:footnote w:type="continuationSeparator" w:id="0">
    <w:p w14:paraId="0A23E601" w14:textId="77777777" w:rsidR="00D305D7" w:rsidRDefault="00D305D7" w:rsidP="0026063E">
      <w:pPr>
        <w:spacing w:after="0" w:line="240" w:lineRule="auto"/>
      </w:pPr>
      <w:r>
        <w:continuationSeparator/>
      </w:r>
    </w:p>
  </w:footnote>
  <w:footnote w:id="1">
    <w:p w14:paraId="737D51B8" w14:textId="2570BB7E" w:rsidR="0026063E" w:rsidRDefault="0026063E">
      <w:pPr>
        <w:pStyle w:val="FootnoteText"/>
      </w:pPr>
      <w:r>
        <w:rPr>
          <w:rStyle w:val="FootnoteReference"/>
        </w:rPr>
        <w:footnoteRef/>
      </w:r>
      <w:r>
        <w:t xml:space="preserve"> </w:t>
      </w:r>
      <w:r w:rsidRPr="0026063E">
        <w:t xml:space="preserve">Health and Social Care NI – A </w:t>
      </w:r>
      <w:proofErr w:type="gramStart"/>
      <w:r w:rsidRPr="0026063E">
        <w:t>Three Year</w:t>
      </w:r>
      <w:proofErr w:type="gramEnd"/>
      <w:r w:rsidRPr="0026063E">
        <w:t xml:space="preserve"> Plan to Stabilise, Reform and Deliver, p.8.</w:t>
      </w:r>
    </w:p>
  </w:footnote>
  <w:footnote w:id="2">
    <w:p w14:paraId="2A1DBE48" w14:textId="44B1598E" w:rsidR="0026063E" w:rsidRDefault="0026063E">
      <w:pPr>
        <w:pStyle w:val="FootnoteText"/>
      </w:pPr>
      <w:r>
        <w:rPr>
          <w:rStyle w:val="FootnoteReference"/>
        </w:rPr>
        <w:footnoteRef/>
      </w:r>
      <w:r>
        <w:t xml:space="preserve"> </w:t>
      </w:r>
      <w:r w:rsidRPr="0026063E">
        <w:t>Health and Social Care NI Reset Plan, p.11.</w:t>
      </w:r>
    </w:p>
  </w:footnote>
  <w:footnote w:id="3">
    <w:p w14:paraId="00876EEB" w14:textId="29045826" w:rsidR="0026063E" w:rsidRDefault="0026063E">
      <w:pPr>
        <w:pStyle w:val="FootnoteText"/>
      </w:pPr>
      <w:r>
        <w:rPr>
          <w:rStyle w:val="FootnoteReference"/>
        </w:rPr>
        <w:footnoteRef/>
      </w:r>
      <w:r>
        <w:t xml:space="preserve"> </w:t>
      </w:r>
      <w:r w:rsidRPr="0026063E">
        <w:t>Health and Social Care NI Reset Plan, p.11.</w:t>
      </w:r>
    </w:p>
  </w:footnote>
  <w:footnote w:id="4">
    <w:p w14:paraId="34D4158D" w14:textId="2D2D7A5C" w:rsidR="0026063E" w:rsidRDefault="0026063E">
      <w:pPr>
        <w:pStyle w:val="FootnoteText"/>
      </w:pPr>
      <w:r>
        <w:rPr>
          <w:rStyle w:val="FootnoteReference"/>
        </w:rPr>
        <w:footnoteRef/>
      </w:r>
      <w:r>
        <w:t xml:space="preserve"> </w:t>
      </w:r>
      <w:r w:rsidRPr="0026063E">
        <w:t>Health and Social Care NI Reset Plan, p.8.</w:t>
      </w:r>
    </w:p>
  </w:footnote>
  <w:footnote w:id="5">
    <w:p w14:paraId="786C2F82" w14:textId="506DEADF" w:rsidR="0026063E" w:rsidRDefault="0026063E">
      <w:pPr>
        <w:pStyle w:val="FootnoteText"/>
      </w:pPr>
      <w:r>
        <w:rPr>
          <w:rStyle w:val="FootnoteReference"/>
        </w:rPr>
        <w:footnoteRef/>
      </w:r>
      <w:r>
        <w:t xml:space="preserve"> </w:t>
      </w:r>
      <w:r w:rsidRPr="0026063E">
        <w:t>Health and Social Care NI Reset Plan, p.15.</w:t>
      </w:r>
    </w:p>
  </w:footnote>
  <w:footnote w:id="6">
    <w:p w14:paraId="001B5F30" w14:textId="24298A8A" w:rsidR="0026063E" w:rsidRDefault="0026063E">
      <w:pPr>
        <w:pStyle w:val="FootnoteText"/>
      </w:pPr>
      <w:r>
        <w:rPr>
          <w:rStyle w:val="FootnoteReference"/>
        </w:rPr>
        <w:footnoteRef/>
      </w:r>
      <w:r>
        <w:t xml:space="preserve"> </w:t>
      </w:r>
      <w:r w:rsidRPr="0026063E">
        <w:t xml:space="preserve">Health and Social Care NI – A </w:t>
      </w:r>
      <w:proofErr w:type="gramStart"/>
      <w:r w:rsidRPr="0026063E">
        <w:t>Three Year</w:t>
      </w:r>
      <w:proofErr w:type="gramEnd"/>
      <w:r w:rsidRPr="0026063E">
        <w:t xml:space="preserve"> Plan to Stabilise, Reform and Deliver, p.7.</w:t>
      </w:r>
    </w:p>
  </w:footnote>
  <w:footnote w:id="7">
    <w:p w14:paraId="10DB495E" w14:textId="37077B1A" w:rsidR="0026063E" w:rsidRDefault="0026063E">
      <w:pPr>
        <w:pStyle w:val="FootnoteText"/>
      </w:pPr>
      <w:r>
        <w:rPr>
          <w:rStyle w:val="FootnoteReference"/>
        </w:rPr>
        <w:footnoteRef/>
      </w:r>
      <w:r>
        <w:t xml:space="preserve"> </w:t>
      </w:r>
      <w:r w:rsidRPr="0026063E">
        <w:t xml:space="preserve">Health and Social Care NI – A </w:t>
      </w:r>
      <w:proofErr w:type="gramStart"/>
      <w:r w:rsidRPr="0026063E">
        <w:t>Three Year</w:t>
      </w:r>
      <w:proofErr w:type="gramEnd"/>
      <w:r w:rsidRPr="0026063E">
        <w:t xml:space="preserve"> Plan to Stabilise, Reform and Deliver, p.16.</w:t>
      </w:r>
    </w:p>
  </w:footnote>
  <w:footnote w:id="8">
    <w:p w14:paraId="1802355C" w14:textId="3B692C03" w:rsidR="0026063E" w:rsidRDefault="0026063E">
      <w:pPr>
        <w:pStyle w:val="FootnoteText"/>
      </w:pPr>
      <w:r>
        <w:rPr>
          <w:rStyle w:val="FootnoteReference"/>
        </w:rPr>
        <w:footnoteRef/>
      </w:r>
      <w:r>
        <w:t xml:space="preserve"> </w:t>
      </w:r>
      <w:r w:rsidRPr="0026063E">
        <w:t>NI Neurology Review Interim Report, 2019; Final Report Consultation, 2025.</w:t>
      </w:r>
    </w:p>
  </w:footnote>
  <w:footnote w:id="9">
    <w:p w14:paraId="24F9DAB2" w14:textId="1C4C4155" w:rsidR="0026063E" w:rsidRDefault="0026063E">
      <w:pPr>
        <w:pStyle w:val="FootnoteText"/>
      </w:pPr>
      <w:r>
        <w:rPr>
          <w:rStyle w:val="FootnoteReference"/>
        </w:rPr>
        <w:footnoteRef/>
      </w:r>
      <w:r>
        <w:t xml:space="preserve"> </w:t>
      </w:r>
      <w:r w:rsidRPr="0026063E">
        <w:t>NI Neurology Review Interim Report, 2019.</w:t>
      </w:r>
    </w:p>
  </w:footnote>
  <w:footnote w:id="10">
    <w:p w14:paraId="4D2D5136" w14:textId="5EA53E3E" w:rsidR="0026063E" w:rsidRDefault="0026063E">
      <w:pPr>
        <w:pStyle w:val="FootnoteText"/>
      </w:pPr>
      <w:r>
        <w:rPr>
          <w:rStyle w:val="FootnoteReference"/>
        </w:rPr>
        <w:footnoteRef/>
      </w:r>
      <w:r>
        <w:t xml:space="preserve"> </w:t>
      </w:r>
      <w:r w:rsidRPr="0026063E">
        <w:t>NI Neurology Review Final Report Consultation, 2025.</w:t>
      </w:r>
    </w:p>
  </w:footnote>
  <w:footnote w:id="11">
    <w:p w14:paraId="5BC12408" w14:textId="393BAD24" w:rsidR="0026063E" w:rsidRDefault="0026063E">
      <w:pPr>
        <w:pStyle w:val="FootnoteText"/>
      </w:pPr>
      <w:r>
        <w:rPr>
          <w:rStyle w:val="FootnoteReference"/>
        </w:rPr>
        <w:footnoteRef/>
      </w:r>
      <w:r>
        <w:t xml:space="preserve"> </w:t>
      </w:r>
      <w:proofErr w:type="spellStart"/>
      <w:r w:rsidRPr="0026063E">
        <w:t>niNCA</w:t>
      </w:r>
      <w:proofErr w:type="spellEnd"/>
      <w:r w:rsidRPr="0026063E">
        <w:t xml:space="preserve"> Consultation Feedback, July 2025.</w:t>
      </w:r>
    </w:p>
  </w:footnote>
  <w:footnote w:id="12">
    <w:p w14:paraId="40C8CA42" w14:textId="57839A34" w:rsidR="0026063E" w:rsidRDefault="0026063E">
      <w:pPr>
        <w:pStyle w:val="FootnoteText"/>
      </w:pPr>
      <w:r>
        <w:rPr>
          <w:rStyle w:val="FootnoteReference"/>
        </w:rPr>
        <w:footnoteRef/>
      </w:r>
      <w:r>
        <w:t xml:space="preserve"> </w:t>
      </w:r>
      <w:r w:rsidRPr="0026063E">
        <w:t>NI Neurology Review Interim Report, 2019.</w:t>
      </w:r>
    </w:p>
  </w:footnote>
  <w:footnote w:id="13">
    <w:p w14:paraId="409F41DA" w14:textId="223D121B" w:rsidR="0026063E" w:rsidRDefault="0026063E">
      <w:pPr>
        <w:pStyle w:val="FootnoteText"/>
      </w:pPr>
      <w:r>
        <w:rPr>
          <w:rStyle w:val="FootnoteReference"/>
        </w:rPr>
        <w:footnoteRef/>
      </w:r>
      <w:r>
        <w:t xml:space="preserve"> </w:t>
      </w:r>
      <w:r w:rsidRPr="0026063E">
        <w:t>Ministerial Statement on Neurology Review, May 2025.</w:t>
      </w:r>
    </w:p>
  </w:footnote>
  <w:footnote w:id="14">
    <w:p w14:paraId="71276520" w14:textId="251A4FEF" w:rsidR="0026063E" w:rsidRDefault="0026063E">
      <w:pPr>
        <w:pStyle w:val="FootnoteText"/>
      </w:pPr>
      <w:r>
        <w:rPr>
          <w:rStyle w:val="FootnoteReference"/>
        </w:rPr>
        <w:footnoteRef/>
      </w:r>
      <w:r>
        <w:t xml:space="preserve"> </w:t>
      </w:r>
      <w:r w:rsidRPr="0026063E">
        <w:t>Health and Social Care NI Reset Plan, p.15.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FCE"/>
    <w:multiLevelType w:val="hybridMultilevel"/>
    <w:tmpl w:val="7924C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F3198"/>
    <w:multiLevelType w:val="multilevel"/>
    <w:tmpl w:val="C57A7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B61FC"/>
    <w:multiLevelType w:val="multilevel"/>
    <w:tmpl w:val="910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B2AB4"/>
    <w:multiLevelType w:val="multilevel"/>
    <w:tmpl w:val="D2D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31EF4"/>
    <w:multiLevelType w:val="multilevel"/>
    <w:tmpl w:val="447C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97543"/>
    <w:multiLevelType w:val="multilevel"/>
    <w:tmpl w:val="94CC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D6099"/>
    <w:multiLevelType w:val="multilevel"/>
    <w:tmpl w:val="2B2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A4888"/>
    <w:multiLevelType w:val="multilevel"/>
    <w:tmpl w:val="ACFC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D2F9F"/>
    <w:multiLevelType w:val="multilevel"/>
    <w:tmpl w:val="49EC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77C98"/>
    <w:multiLevelType w:val="multilevel"/>
    <w:tmpl w:val="49F0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04F13"/>
    <w:multiLevelType w:val="multilevel"/>
    <w:tmpl w:val="C32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C54E7"/>
    <w:multiLevelType w:val="multilevel"/>
    <w:tmpl w:val="D396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F6DCD"/>
    <w:multiLevelType w:val="multilevel"/>
    <w:tmpl w:val="59FC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860D9"/>
    <w:multiLevelType w:val="multilevel"/>
    <w:tmpl w:val="680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0886"/>
    <w:multiLevelType w:val="multilevel"/>
    <w:tmpl w:val="7EC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40C57"/>
    <w:multiLevelType w:val="multilevel"/>
    <w:tmpl w:val="29D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777E4"/>
    <w:multiLevelType w:val="multilevel"/>
    <w:tmpl w:val="5E7C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D0F41"/>
    <w:multiLevelType w:val="multilevel"/>
    <w:tmpl w:val="DD38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025CD"/>
    <w:multiLevelType w:val="multilevel"/>
    <w:tmpl w:val="EB8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452D1"/>
    <w:multiLevelType w:val="multilevel"/>
    <w:tmpl w:val="D9029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03828"/>
    <w:multiLevelType w:val="multilevel"/>
    <w:tmpl w:val="13D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80E15"/>
    <w:multiLevelType w:val="multilevel"/>
    <w:tmpl w:val="D5FEF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01C5E"/>
    <w:multiLevelType w:val="multilevel"/>
    <w:tmpl w:val="CBE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07091"/>
    <w:multiLevelType w:val="multilevel"/>
    <w:tmpl w:val="975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588504">
    <w:abstractNumId w:val="10"/>
  </w:num>
  <w:num w:numId="2" w16cid:durableId="574361538">
    <w:abstractNumId w:val="8"/>
  </w:num>
  <w:num w:numId="3" w16cid:durableId="180047703">
    <w:abstractNumId w:val="16"/>
  </w:num>
  <w:num w:numId="4" w16cid:durableId="1742172548">
    <w:abstractNumId w:val="4"/>
  </w:num>
  <w:num w:numId="5" w16cid:durableId="60645442">
    <w:abstractNumId w:val="7"/>
  </w:num>
  <w:num w:numId="6" w16cid:durableId="394282869">
    <w:abstractNumId w:val="18"/>
  </w:num>
  <w:num w:numId="7" w16cid:durableId="1037589181">
    <w:abstractNumId w:val="5"/>
  </w:num>
  <w:num w:numId="8" w16cid:durableId="1775520292">
    <w:abstractNumId w:val="17"/>
  </w:num>
  <w:num w:numId="9" w16cid:durableId="1102871749">
    <w:abstractNumId w:val="3"/>
  </w:num>
  <w:num w:numId="10" w16cid:durableId="655299499">
    <w:abstractNumId w:val="23"/>
  </w:num>
  <w:num w:numId="11" w16cid:durableId="684482661">
    <w:abstractNumId w:val="15"/>
  </w:num>
  <w:num w:numId="12" w16cid:durableId="595477392">
    <w:abstractNumId w:val="19"/>
  </w:num>
  <w:num w:numId="13" w16cid:durableId="814102512">
    <w:abstractNumId w:val="11"/>
  </w:num>
  <w:num w:numId="14" w16cid:durableId="1676419599">
    <w:abstractNumId w:val="9"/>
  </w:num>
  <w:num w:numId="15" w16cid:durableId="1782606422">
    <w:abstractNumId w:val="20"/>
  </w:num>
  <w:num w:numId="16" w16cid:durableId="1943023808">
    <w:abstractNumId w:val="12"/>
  </w:num>
  <w:num w:numId="17" w16cid:durableId="433138098">
    <w:abstractNumId w:val="0"/>
  </w:num>
  <w:num w:numId="18" w16cid:durableId="2034530331">
    <w:abstractNumId w:val="2"/>
  </w:num>
  <w:num w:numId="19" w16cid:durableId="93213016">
    <w:abstractNumId w:val="1"/>
  </w:num>
  <w:num w:numId="20" w16cid:durableId="55519960">
    <w:abstractNumId w:val="21"/>
  </w:num>
  <w:num w:numId="21" w16cid:durableId="1063914904">
    <w:abstractNumId w:val="22"/>
  </w:num>
  <w:num w:numId="22" w16cid:durableId="1667782039">
    <w:abstractNumId w:val="13"/>
  </w:num>
  <w:num w:numId="23" w16cid:durableId="699865923">
    <w:abstractNumId w:val="14"/>
  </w:num>
  <w:num w:numId="24" w16cid:durableId="199645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73"/>
    <w:rsid w:val="00186F9D"/>
    <w:rsid w:val="001948C7"/>
    <w:rsid w:val="001A48EC"/>
    <w:rsid w:val="0026063E"/>
    <w:rsid w:val="002A63A4"/>
    <w:rsid w:val="00525D97"/>
    <w:rsid w:val="006127F1"/>
    <w:rsid w:val="00677F7F"/>
    <w:rsid w:val="006A597F"/>
    <w:rsid w:val="006D7312"/>
    <w:rsid w:val="00743EED"/>
    <w:rsid w:val="007D6FD4"/>
    <w:rsid w:val="00805CD6"/>
    <w:rsid w:val="009E6EDE"/>
    <w:rsid w:val="00A3160B"/>
    <w:rsid w:val="00D305D7"/>
    <w:rsid w:val="00FD5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A274"/>
  <w15:chartTrackingRefBased/>
  <w15:docId w15:val="{3878C977-8623-4633-94ED-5A84A71D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773"/>
    <w:rPr>
      <w:rFonts w:eastAsiaTheme="majorEastAsia" w:cstheme="majorBidi"/>
      <w:color w:val="272727" w:themeColor="text1" w:themeTint="D8"/>
    </w:rPr>
  </w:style>
  <w:style w:type="paragraph" w:styleId="Title">
    <w:name w:val="Title"/>
    <w:basedOn w:val="Normal"/>
    <w:next w:val="Normal"/>
    <w:link w:val="TitleChar"/>
    <w:uiPriority w:val="10"/>
    <w:qFormat/>
    <w:rsid w:val="00FD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773"/>
    <w:pPr>
      <w:spacing w:before="160"/>
      <w:jc w:val="center"/>
    </w:pPr>
    <w:rPr>
      <w:i/>
      <w:iCs/>
      <w:color w:val="404040" w:themeColor="text1" w:themeTint="BF"/>
    </w:rPr>
  </w:style>
  <w:style w:type="character" w:customStyle="1" w:styleId="QuoteChar">
    <w:name w:val="Quote Char"/>
    <w:basedOn w:val="DefaultParagraphFont"/>
    <w:link w:val="Quote"/>
    <w:uiPriority w:val="29"/>
    <w:rsid w:val="00FD5773"/>
    <w:rPr>
      <w:i/>
      <w:iCs/>
      <w:color w:val="404040" w:themeColor="text1" w:themeTint="BF"/>
    </w:rPr>
  </w:style>
  <w:style w:type="paragraph" w:styleId="ListParagraph">
    <w:name w:val="List Paragraph"/>
    <w:basedOn w:val="Normal"/>
    <w:uiPriority w:val="34"/>
    <w:qFormat/>
    <w:rsid w:val="00FD5773"/>
    <w:pPr>
      <w:ind w:left="720"/>
      <w:contextualSpacing/>
    </w:pPr>
  </w:style>
  <w:style w:type="character" w:styleId="IntenseEmphasis">
    <w:name w:val="Intense Emphasis"/>
    <w:basedOn w:val="DefaultParagraphFont"/>
    <w:uiPriority w:val="21"/>
    <w:qFormat/>
    <w:rsid w:val="00FD5773"/>
    <w:rPr>
      <w:i/>
      <w:iCs/>
      <w:color w:val="0F4761" w:themeColor="accent1" w:themeShade="BF"/>
    </w:rPr>
  </w:style>
  <w:style w:type="paragraph" w:styleId="IntenseQuote">
    <w:name w:val="Intense Quote"/>
    <w:basedOn w:val="Normal"/>
    <w:next w:val="Normal"/>
    <w:link w:val="IntenseQuoteChar"/>
    <w:uiPriority w:val="30"/>
    <w:qFormat/>
    <w:rsid w:val="00FD5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773"/>
    <w:rPr>
      <w:i/>
      <w:iCs/>
      <w:color w:val="0F4761" w:themeColor="accent1" w:themeShade="BF"/>
    </w:rPr>
  </w:style>
  <w:style w:type="character" w:styleId="IntenseReference">
    <w:name w:val="Intense Reference"/>
    <w:basedOn w:val="DefaultParagraphFont"/>
    <w:uiPriority w:val="32"/>
    <w:qFormat/>
    <w:rsid w:val="00FD5773"/>
    <w:rPr>
      <w:b/>
      <w:bCs/>
      <w:smallCaps/>
      <w:color w:val="0F4761" w:themeColor="accent1" w:themeShade="BF"/>
      <w:spacing w:val="5"/>
    </w:rPr>
  </w:style>
  <w:style w:type="paragraph" w:styleId="FootnoteText">
    <w:name w:val="footnote text"/>
    <w:basedOn w:val="Normal"/>
    <w:link w:val="FootnoteTextChar"/>
    <w:uiPriority w:val="99"/>
    <w:semiHidden/>
    <w:unhideWhenUsed/>
    <w:rsid w:val="002606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63E"/>
    <w:rPr>
      <w:sz w:val="20"/>
      <w:szCs w:val="20"/>
    </w:rPr>
  </w:style>
  <w:style w:type="character" w:styleId="FootnoteReference">
    <w:name w:val="footnote reference"/>
    <w:basedOn w:val="DefaultParagraphFont"/>
    <w:uiPriority w:val="99"/>
    <w:semiHidden/>
    <w:unhideWhenUsed/>
    <w:rsid w:val="00260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4A81-D339-4113-8DA6-7CF3F05C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Jennings</dc:creator>
  <cp:keywords/>
  <dc:description/>
  <cp:lastModifiedBy>Daniel Jennings</cp:lastModifiedBy>
  <cp:revision>5</cp:revision>
  <dcterms:created xsi:type="dcterms:W3CDTF">2025-11-26T12:08:00Z</dcterms:created>
  <dcterms:modified xsi:type="dcterms:W3CDTF">2025-11-28T10:10:00Z</dcterms:modified>
</cp:coreProperties>
</file>