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7A1" w:rsidRDefault="00A73F5F" w:rsidP="006679A4">
      <w:pPr>
        <w:shd w:val="clear" w:color="auto" w:fill="C6D9F1" w:themeFill="text2" w:themeFillTint="33"/>
        <w:jc w:val="center"/>
        <w:rPr>
          <w:rFonts w:ascii="Arial" w:hAnsi="Arial" w:cs="Arial"/>
          <w:b/>
          <w:sz w:val="28"/>
          <w:szCs w:val="28"/>
        </w:rPr>
      </w:pPr>
      <w:r w:rsidRPr="00555C21">
        <w:rPr>
          <w:rFonts w:ascii="Arial" w:hAnsi="Arial" w:cs="Arial"/>
          <w:b/>
          <w:sz w:val="28"/>
          <w:szCs w:val="28"/>
        </w:rPr>
        <w:t xml:space="preserve">Dental Access Scheme </w:t>
      </w:r>
      <w:r w:rsidR="001843EF" w:rsidRPr="00555C21">
        <w:rPr>
          <w:rFonts w:ascii="Arial" w:hAnsi="Arial" w:cs="Arial"/>
          <w:b/>
          <w:sz w:val="28"/>
          <w:szCs w:val="28"/>
        </w:rPr>
        <w:t>(DAS)</w:t>
      </w:r>
      <w:r w:rsidR="00B729AE">
        <w:rPr>
          <w:rFonts w:ascii="Arial" w:hAnsi="Arial" w:cs="Arial"/>
          <w:b/>
          <w:sz w:val="28"/>
          <w:szCs w:val="28"/>
        </w:rPr>
        <w:t xml:space="preserve"> </w:t>
      </w:r>
      <w:r w:rsidR="000F57A1">
        <w:rPr>
          <w:rFonts w:ascii="Arial" w:hAnsi="Arial" w:cs="Arial"/>
          <w:b/>
          <w:sz w:val="28"/>
          <w:szCs w:val="28"/>
        </w:rPr>
        <w:t>PDS Pilot Scheme Monitoring Report</w:t>
      </w:r>
    </w:p>
    <w:p w:rsidR="009D35CF" w:rsidRDefault="002F2049" w:rsidP="006679A4">
      <w:pPr>
        <w:shd w:val="clear" w:color="auto" w:fill="C6D9F1" w:themeFill="text2" w:themeFillTint="33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1 August </w:t>
      </w:r>
      <w:r w:rsidR="00F60321">
        <w:rPr>
          <w:rFonts w:ascii="Arial" w:hAnsi="Arial" w:cs="Arial"/>
          <w:b/>
          <w:sz w:val="28"/>
          <w:szCs w:val="28"/>
        </w:rPr>
        <w:t xml:space="preserve">2024 </w:t>
      </w:r>
      <w:r>
        <w:rPr>
          <w:rFonts w:ascii="Arial" w:hAnsi="Arial" w:cs="Arial"/>
          <w:b/>
          <w:sz w:val="28"/>
          <w:szCs w:val="28"/>
        </w:rPr>
        <w:t xml:space="preserve">to </w:t>
      </w:r>
      <w:r w:rsidR="0046027A">
        <w:rPr>
          <w:rFonts w:ascii="Arial" w:hAnsi="Arial" w:cs="Arial"/>
          <w:b/>
          <w:sz w:val="28"/>
          <w:szCs w:val="28"/>
        </w:rPr>
        <w:t>3</w:t>
      </w:r>
      <w:r w:rsidR="006A3BB7">
        <w:rPr>
          <w:rFonts w:ascii="Arial" w:hAnsi="Arial" w:cs="Arial"/>
          <w:b/>
          <w:sz w:val="28"/>
          <w:szCs w:val="28"/>
        </w:rPr>
        <w:t>1 October</w:t>
      </w:r>
      <w:r w:rsidR="00EE6B32">
        <w:rPr>
          <w:rFonts w:ascii="Arial" w:hAnsi="Arial" w:cs="Arial"/>
          <w:b/>
          <w:sz w:val="28"/>
          <w:szCs w:val="28"/>
        </w:rPr>
        <w:t xml:space="preserve"> 2025</w:t>
      </w:r>
    </w:p>
    <w:p w:rsidR="00091596" w:rsidRPr="00CE3DF9" w:rsidRDefault="00091596" w:rsidP="00DF542A">
      <w:pPr>
        <w:pStyle w:val="ListParagraph"/>
        <w:numPr>
          <w:ilvl w:val="0"/>
          <w:numId w:val="11"/>
        </w:numPr>
        <w:spacing w:before="240"/>
        <w:rPr>
          <w:rFonts w:ascii="Arial" w:hAnsi="Arial" w:cs="Arial"/>
          <w:b/>
          <w:sz w:val="24"/>
          <w:szCs w:val="24"/>
        </w:rPr>
      </w:pPr>
      <w:r w:rsidRPr="00CE3DF9">
        <w:rPr>
          <w:rFonts w:ascii="Arial" w:hAnsi="Arial" w:cs="Arial"/>
          <w:b/>
          <w:sz w:val="24"/>
          <w:szCs w:val="24"/>
        </w:rPr>
        <w:t>Introduction</w:t>
      </w:r>
    </w:p>
    <w:p w:rsidR="000E135E" w:rsidRPr="00CE3DF9" w:rsidRDefault="00B729AE" w:rsidP="00B729AE">
      <w:pPr>
        <w:rPr>
          <w:rFonts w:ascii="Arial" w:hAnsi="Arial" w:cs="Arial"/>
          <w:sz w:val="24"/>
          <w:szCs w:val="24"/>
        </w:rPr>
      </w:pPr>
      <w:r w:rsidRPr="00CE3DF9">
        <w:rPr>
          <w:rFonts w:ascii="Arial" w:hAnsi="Arial" w:cs="Arial"/>
          <w:sz w:val="24"/>
          <w:szCs w:val="24"/>
        </w:rPr>
        <w:t>The Dental Access Scheme (DAS)</w:t>
      </w:r>
      <w:r w:rsidR="000E135E" w:rsidRPr="00CE3DF9">
        <w:rPr>
          <w:rFonts w:ascii="Arial" w:hAnsi="Arial" w:cs="Arial"/>
          <w:sz w:val="24"/>
          <w:szCs w:val="24"/>
        </w:rPr>
        <w:t xml:space="preserve"> aims to improve access to health service dental care </w:t>
      </w:r>
      <w:r w:rsidR="009722B6">
        <w:rPr>
          <w:rFonts w:ascii="Arial" w:hAnsi="Arial" w:cs="Arial"/>
          <w:sz w:val="24"/>
          <w:szCs w:val="24"/>
        </w:rPr>
        <w:t>f</w:t>
      </w:r>
      <w:r w:rsidR="000E135E" w:rsidRPr="00CE3DF9">
        <w:rPr>
          <w:rFonts w:ascii="Arial" w:hAnsi="Arial" w:cs="Arial"/>
          <w:sz w:val="24"/>
          <w:szCs w:val="24"/>
        </w:rPr>
        <w:t>or unregistered patients experiencing an emergency, urgent, or pressing condition</w:t>
      </w:r>
      <w:r w:rsidR="00003E56">
        <w:rPr>
          <w:rFonts w:ascii="Arial" w:hAnsi="Arial" w:cs="Arial"/>
          <w:sz w:val="24"/>
          <w:szCs w:val="24"/>
        </w:rPr>
        <w:t xml:space="preserve"> during the working week.</w:t>
      </w:r>
      <w:r w:rsidR="00C676E1">
        <w:rPr>
          <w:rFonts w:ascii="Arial" w:hAnsi="Arial" w:cs="Arial"/>
          <w:sz w:val="24"/>
          <w:szCs w:val="24"/>
        </w:rPr>
        <w:t xml:space="preserve">  Replacing PUPAS, </w:t>
      </w:r>
      <w:r w:rsidR="00003E56">
        <w:rPr>
          <w:rFonts w:ascii="Arial" w:hAnsi="Arial" w:cs="Arial"/>
          <w:sz w:val="24"/>
          <w:szCs w:val="24"/>
        </w:rPr>
        <w:t>DAS</w:t>
      </w:r>
      <w:r w:rsidR="00C676E1">
        <w:rPr>
          <w:rFonts w:ascii="Arial" w:hAnsi="Arial" w:cs="Arial"/>
          <w:sz w:val="24"/>
          <w:szCs w:val="24"/>
        </w:rPr>
        <w:t xml:space="preserve"> was launched on 1 August 2024.</w:t>
      </w:r>
    </w:p>
    <w:p w:rsidR="00091596" w:rsidRPr="00CE3DF9" w:rsidRDefault="00091596" w:rsidP="00EC492D">
      <w:pPr>
        <w:spacing w:after="0"/>
        <w:rPr>
          <w:rFonts w:ascii="Arial" w:hAnsi="Arial" w:cs="Arial"/>
          <w:sz w:val="24"/>
          <w:szCs w:val="24"/>
        </w:rPr>
      </w:pPr>
    </w:p>
    <w:p w:rsidR="00091596" w:rsidRPr="00CE3DF9" w:rsidRDefault="00091596" w:rsidP="00091596">
      <w:pPr>
        <w:pStyle w:val="ListParagraph"/>
        <w:numPr>
          <w:ilvl w:val="0"/>
          <w:numId w:val="11"/>
        </w:numPr>
        <w:rPr>
          <w:rFonts w:ascii="Arial" w:hAnsi="Arial" w:cs="Arial"/>
          <w:b/>
          <w:sz w:val="24"/>
          <w:szCs w:val="24"/>
        </w:rPr>
      </w:pPr>
      <w:r w:rsidRPr="00CE3DF9">
        <w:rPr>
          <w:rFonts w:ascii="Arial" w:hAnsi="Arial" w:cs="Arial"/>
          <w:b/>
          <w:sz w:val="24"/>
          <w:szCs w:val="24"/>
        </w:rPr>
        <w:t>Pilot Scheme Providers</w:t>
      </w:r>
    </w:p>
    <w:p w:rsidR="00B729AE" w:rsidRPr="00CE3DF9" w:rsidRDefault="006A3BB7" w:rsidP="00B729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31 October 2025, t</w:t>
      </w:r>
      <w:r w:rsidR="00C676E1">
        <w:rPr>
          <w:rFonts w:ascii="Arial" w:hAnsi="Arial" w:cs="Arial"/>
          <w:sz w:val="24"/>
          <w:szCs w:val="24"/>
        </w:rPr>
        <w:t>here were</w:t>
      </w:r>
      <w:r w:rsidR="00D06A87" w:rsidRPr="00CE3DF9">
        <w:rPr>
          <w:rFonts w:ascii="Arial" w:hAnsi="Arial" w:cs="Arial"/>
          <w:sz w:val="24"/>
          <w:szCs w:val="24"/>
        </w:rPr>
        <w:t xml:space="preserve"> 3</w:t>
      </w:r>
      <w:r w:rsidR="00D14087" w:rsidRPr="00CE3DF9">
        <w:rPr>
          <w:rFonts w:ascii="Arial" w:hAnsi="Arial" w:cs="Arial"/>
          <w:sz w:val="24"/>
          <w:szCs w:val="24"/>
        </w:rPr>
        <w:t>7</w:t>
      </w:r>
      <w:r w:rsidR="00B729AE" w:rsidRPr="00CE3DF9">
        <w:rPr>
          <w:rFonts w:ascii="Arial" w:hAnsi="Arial" w:cs="Arial"/>
          <w:sz w:val="24"/>
          <w:szCs w:val="24"/>
        </w:rPr>
        <w:t xml:space="preserve"> practices</w:t>
      </w:r>
      <w:r w:rsidR="00BE2E1C">
        <w:rPr>
          <w:rFonts w:ascii="Arial" w:hAnsi="Arial" w:cs="Arial"/>
          <w:sz w:val="24"/>
          <w:szCs w:val="24"/>
        </w:rPr>
        <w:t xml:space="preserve"> participating in the scheme</w:t>
      </w:r>
      <w:r w:rsidR="00031B8D" w:rsidRPr="00CE3DF9">
        <w:rPr>
          <w:rFonts w:ascii="Arial" w:hAnsi="Arial" w:cs="Arial"/>
          <w:sz w:val="24"/>
          <w:szCs w:val="24"/>
        </w:rPr>
        <w:t xml:space="preserve"> as follows:</w:t>
      </w:r>
    </w:p>
    <w:tbl>
      <w:tblPr>
        <w:tblW w:w="5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686"/>
      </w:tblGrid>
      <w:tr w:rsidR="00B729AE" w:rsidRPr="00CE3DF9" w:rsidTr="00CE3DF9">
        <w:trPr>
          <w:trHeight w:val="615"/>
          <w:jc w:val="center"/>
        </w:trPr>
        <w:tc>
          <w:tcPr>
            <w:tcW w:w="1809" w:type="dxa"/>
            <w:shd w:val="clear" w:color="auto" w:fill="C6D9F1" w:themeFill="text2" w:themeFillTint="33"/>
            <w:noWrap/>
            <w:vAlign w:val="center"/>
            <w:hideMark/>
          </w:tcPr>
          <w:p w:rsidR="00B729AE" w:rsidRPr="00CE3DF9" w:rsidRDefault="00B729AE" w:rsidP="00B729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LDC Area</w:t>
            </w:r>
          </w:p>
        </w:tc>
        <w:tc>
          <w:tcPr>
            <w:tcW w:w="3686" w:type="dxa"/>
            <w:shd w:val="clear" w:color="auto" w:fill="C6D9F1" w:themeFill="text2" w:themeFillTint="33"/>
            <w:vAlign w:val="center"/>
            <w:hideMark/>
          </w:tcPr>
          <w:p w:rsidR="00B729AE" w:rsidRPr="00CE3DF9" w:rsidRDefault="00B729AE" w:rsidP="00B729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Number of Provider Practices</w:t>
            </w:r>
          </w:p>
        </w:tc>
      </w:tr>
      <w:tr w:rsidR="00B729AE" w:rsidRPr="00CE3DF9" w:rsidTr="00CE3DF9">
        <w:trPr>
          <w:trHeight w:val="300"/>
          <w:jc w:val="center"/>
        </w:trPr>
        <w:tc>
          <w:tcPr>
            <w:tcW w:w="1809" w:type="dxa"/>
            <w:shd w:val="clear" w:color="auto" w:fill="auto"/>
            <w:noWrap/>
            <w:vAlign w:val="center"/>
            <w:hideMark/>
          </w:tcPr>
          <w:p w:rsidR="00B729AE" w:rsidRPr="00CE3DF9" w:rsidRDefault="00B729AE" w:rsidP="00B72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Belfast</w:t>
            </w:r>
          </w:p>
        </w:tc>
        <w:tc>
          <w:tcPr>
            <w:tcW w:w="3686" w:type="dxa"/>
            <w:shd w:val="clear" w:color="auto" w:fill="auto"/>
            <w:noWrap/>
            <w:vAlign w:val="center"/>
            <w:hideMark/>
          </w:tcPr>
          <w:p w:rsidR="00B729AE" w:rsidRPr="00CE3DF9" w:rsidRDefault="00030868" w:rsidP="00B72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  <w:r w:rsidR="00D14087"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</w:t>
            </w:r>
          </w:p>
        </w:tc>
      </w:tr>
      <w:tr w:rsidR="00B729AE" w:rsidRPr="00CE3DF9" w:rsidTr="00CE3DF9">
        <w:trPr>
          <w:trHeight w:val="300"/>
          <w:jc w:val="center"/>
        </w:trPr>
        <w:tc>
          <w:tcPr>
            <w:tcW w:w="1809" w:type="dxa"/>
            <w:shd w:val="clear" w:color="auto" w:fill="auto"/>
            <w:noWrap/>
            <w:vAlign w:val="center"/>
            <w:hideMark/>
          </w:tcPr>
          <w:p w:rsidR="00B729AE" w:rsidRPr="00CE3DF9" w:rsidRDefault="00B729AE" w:rsidP="00B72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North</w:t>
            </w:r>
            <w:r w:rsid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ern</w:t>
            </w:r>
          </w:p>
        </w:tc>
        <w:tc>
          <w:tcPr>
            <w:tcW w:w="3686" w:type="dxa"/>
            <w:shd w:val="clear" w:color="auto" w:fill="auto"/>
            <w:noWrap/>
            <w:vAlign w:val="center"/>
            <w:hideMark/>
          </w:tcPr>
          <w:p w:rsidR="00B729AE" w:rsidRPr="00CE3DF9" w:rsidRDefault="009B3A6A" w:rsidP="00B72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B729AE" w:rsidRPr="00CE3DF9" w:rsidTr="00CE3DF9">
        <w:trPr>
          <w:trHeight w:val="300"/>
          <w:jc w:val="center"/>
        </w:trPr>
        <w:tc>
          <w:tcPr>
            <w:tcW w:w="1809" w:type="dxa"/>
            <w:shd w:val="clear" w:color="auto" w:fill="auto"/>
            <w:noWrap/>
            <w:vAlign w:val="center"/>
            <w:hideMark/>
          </w:tcPr>
          <w:p w:rsidR="00B729AE" w:rsidRPr="00CE3DF9" w:rsidRDefault="00B729AE" w:rsidP="00B72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South</w:t>
            </w:r>
            <w:r w:rsid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ern</w:t>
            </w:r>
          </w:p>
        </w:tc>
        <w:tc>
          <w:tcPr>
            <w:tcW w:w="3686" w:type="dxa"/>
            <w:shd w:val="clear" w:color="auto" w:fill="auto"/>
            <w:noWrap/>
            <w:vAlign w:val="center"/>
            <w:hideMark/>
          </w:tcPr>
          <w:p w:rsidR="0043044F" w:rsidRPr="00CE3DF9" w:rsidRDefault="0043044F" w:rsidP="004304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B729AE" w:rsidRPr="00CE3DF9" w:rsidTr="00CE3DF9">
        <w:trPr>
          <w:trHeight w:val="300"/>
          <w:jc w:val="center"/>
        </w:trPr>
        <w:tc>
          <w:tcPr>
            <w:tcW w:w="1809" w:type="dxa"/>
            <w:shd w:val="clear" w:color="auto" w:fill="auto"/>
            <w:noWrap/>
            <w:vAlign w:val="center"/>
            <w:hideMark/>
          </w:tcPr>
          <w:p w:rsidR="00B729AE" w:rsidRPr="00CE3DF9" w:rsidRDefault="00B729AE" w:rsidP="00B72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South East</w:t>
            </w:r>
            <w:r w:rsid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ern</w:t>
            </w:r>
          </w:p>
        </w:tc>
        <w:tc>
          <w:tcPr>
            <w:tcW w:w="3686" w:type="dxa"/>
            <w:shd w:val="clear" w:color="auto" w:fill="auto"/>
            <w:noWrap/>
            <w:vAlign w:val="center"/>
            <w:hideMark/>
          </w:tcPr>
          <w:p w:rsidR="00B729AE" w:rsidRPr="00CE3DF9" w:rsidRDefault="00030868" w:rsidP="00B729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B729AE" w:rsidRPr="00CE3DF9" w:rsidTr="00CE3DF9">
        <w:trPr>
          <w:trHeight w:val="315"/>
          <w:jc w:val="center"/>
        </w:trPr>
        <w:tc>
          <w:tcPr>
            <w:tcW w:w="1809" w:type="dxa"/>
            <w:shd w:val="clear" w:color="auto" w:fill="auto"/>
            <w:noWrap/>
            <w:vAlign w:val="center"/>
            <w:hideMark/>
          </w:tcPr>
          <w:p w:rsidR="00B729AE" w:rsidRPr="00CE3DF9" w:rsidRDefault="00030868" w:rsidP="00B729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West</w:t>
            </w:r>
            <w:r w:rsid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ern</w:t>
            </w:r>
          </w:p>
        </w:tc>
        <w:tc>
          <w:tcPr>
            <w:tcW w:w="3686" w:type="dxa"/>
            <w:shd w:val="clear" w:color="auto" w:fill="auto"/>
            <w:noWrap/>
            <w:vAlign w:val="center"/>
            <w:hideMark/>
          </w:tcPr>
          <w:p w:rsidR="00030868" w:rsidRPr="00CE3DF9" w:rsidRDefault="009B3A6A" w:rsidP="000308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E3DF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</w:tbl>
    <w:p w:rsidR="00B729AE" w:rsidRPr="00B45A01" w:rsidRDefault="00B729AE" w:rsidP="00167EC6">
      <w:pPr>
        <w:spacing w:before="240"/>
        <w:rPr>
          <w:rStyle w:val="Hyperlink"/>
          <w:rFonts w:ascii="Arial" w:hAnsi="Arial" w:cs="Arial"/>
          <w:sz w:val="24"/>
          <w:szCs w:val="24"/>
        </w:rPr>
      </w:pPr>
      <w:r w:rsidRPr="00B45A01">
        <w:rPr>
          <w:rFonts w:ascii="Arial" w:hAnsi="Arial" w:cs="Arial"/>
          <w:sz w:val="24"/>
          <w:szCs w:val="24"/>
        </w:rPr>
        <w:t>P</w:t>
      </w:r>
      <w:r w:rsidR="00B40EAA" w:rsidRPr="00B45A01">
        <w:rPr>
          <w:rFonts w:ascii="Arial" w:hAnsi="Arial" w:cs="Arial"/>
          <w:sz w:val="24"/>
          <w:szCs w:val="24"/>
        </w:rPr>
        <w:t>a</w:t>
      </w:r>
      <w:r w:rsidRPr="00B45A01">
        <w:rPr>
          <w:rFonts w:ascii="Arial" w:hAnsi="Arial" w:cs="Arial"/>
          <w:sz w:val="24"/>
          <w:szCs w:val="24"/>
        </w:rPr>
        <w:t>tients</w:t>
      </w:r>
      <w:r w:rsidR="00C676E1">
        <w:rPr>
          <w:rFonts w:ascii="Arial" w:hAnsi="Arial" w:cs="Arial"/>
          <w:sz w:val="24"/>
          <w:szCs w:val="24"/>
        </w:rPr>
        <w:t xml:space="preserve"> are able to </w:t>
      </w:r>
      <w:r w:rsidRPr="00B45A01">
        <w:rPr>
          <w:rFonts w:ascii="Arial" w:hAnsi="Arial" w:cs="Arial"/>
          <w:sz w:val="24"/>
          <w:szCs w:val="24"/>
        </w:rPr>
        <w:t xml:space="preserve">access the scheme by contacting these practices directly.  </w:t>
      </w:r>
      <w:r w:rsidR="00BE2E1C">
        <w:rPr>
          <w:rFonts w:ascii="Arial" w:hAnsi="Arial" w:cs="Arial"/>
          <w:sz w:val="24"/>
          <w:szCs w:val="24"/>
        </w:rPr>
        <w:t>The</w:t>
      </w:r>
      <w:r w:rsidRPr="00B45A01">
        <w:rPr>
          <w:rFonts w:ascii="Arial" w:hAnsi="Arial" w:cs="Arial"/>
          <w:sz w:val="24"/>
          <w:szCs w:val="24"/>
        </w:rPr>
        <w:t xml:space="preserve"> current list of providers</w:t>
      </w:r>
      <w:r w:rsidR="00BE2E1C">
        <w:rPr>
          <w:rFonts w:ascii="Arial" w:hAnsi="Arial" w:cs="Arial"/>
          <w:sz w:val="24"/>
          <w:szCs w:val="24"/>
        </w:rPr>
        <w:t>,</w:t>
      </w:r>
      <w:r w:rsidRPr="00B45A01">
        <w:rPr>
          <w:rFonts w:ascii="Arial" w:hAnsi="Arial" w:cs="Arial"/>
          <w:sz w:val="24"/>
          <w:szCs w:val="24"/>
        </w:rPr>
        <w:t xml:space="preserve"> </w:t>
      </w:r>
      <w:r w:rsidR="00BE2E1C">
        <w:rPr>
          <w:rFonts w:ascii="Arial" w:hAnsi="Arial" w:cs="Arial"/>
          <w:sz w:val="24"/>
          <w:szCs w:val="24"/>
        </w:rPr>
        <w:t>as well as further details about the scheme</w:t>
      </w:r>
      <w:r w:rsidR="004C51B0">
        <w:rPr>
          <w:rFonts w:ascii="Arial" w:hAnsi="Arial" w:cs="Arial"/>
          <w:sz w:val="24"/>
          <w:szCs w:val="24"/>
        </w:rPr>
        <w:t>,</w:t>
      </w:r>
      <w:r w:rsidR="00BE2E1C">
        <w:rPr>
          <w:rFonts w:ascii="Arial" w:hAnsi="Arial" w:cs="Arial"/>
          <w:sz w:val="24"/>
          <w:szCs w:val="24"/>
        </w:rPr>
        <w:t xml:space="preserve"> are</w:t>
      </w:r>
      <w:r w:rsidRPr="00B45A01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B45A01">
          <w:rPr>
            <w:rStyle w:val="Hyperlink"/>
            <w:rFonts w:ascii="Arial" w:hAnsi="Arial" w:cs="Arial"/>
            <w:sz w:val="24"/>
            <w:szCs w:val="24"/>
          </w:rPr>
          <w:t>https://online.hscni.net/dental-access-scheme/</w:t>
        </w:r>
      </w:hyperlink>
    </w:p>
    <w:p w:rsidR="003F7209" w:rsidRPr="00B45A01" w:rsidRDefault="003F7209" w:rsidP="00DF542A">
      <w:pPr>
        <w:pStyle w:val="ListParagraph"/>
        <w:spacing w:after="0"/>
        <w:rPr>
          <w:rFonts w:ascii="Arial" w:hAnsi="Arial" w:cs="Arial"/>
          <w:b/>
          <w:sz w:val="24"/>
          <w:szCs w:val="24"/>
        </w:rPr>
      </w:pPr>
    </w:p>
    <w:p w:rsidR="00091596" w:rsidRPr="00B45A01" w:rsidRDefault="00091596" w:rsidP="007A3D6D">
      <w:pPr>
        <w:pStyle w:val="ListParagraph"/>
        <w:numPr>
          <w:ilvl w:val="0"/>
          <w:numId w:val="11"/>
        </w:numPr>
        <w:rPr>
          <w:rFonts w:ascii="Arial" w:hAnsi="Arial" w:cs="Arial"/>
          <w:b/>
          <w:sz w:val="24"/>
          <w:szCs w:val="24"/>
        </w:rPr>
      </w:pPr>
      <w:r w:rsidRPr="00B45A01">
        <w:rPr>
          <w:rFonts w:ascii="Arial" w:hAnsi="Arial" w:cs="Arial"/>
          <w:b/>
          <w:sz w:val="24"/>
          <w:szCs w:val="24"/>
        </w:rPr>
        <w:t>Activity</w:t>
      </w:r>
    </w:p>
    <w:p w:rsidR="0071478E" w:rsidRDefault="0071478E" w:rsidP="009722B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total of</w:t>
      </w:r>
      <w:r w:rsidR="006A3BB7">
        <w:rPr>
          <w:rFonts w:ascii="Arial" w:hAnsi="Arial" w:cs="Arial"/>
          <w:sz w:val="24"/>
          <w:szCs w:val="24"/>
        </w:rPr>
        <w:t xml:space="preserve"> 34,321</w:t>
      </w:r>
      <w:r w:rsidR="00DF542A" w:rsidRPr="00B45A01">
        <w:rPr>
          <w:rFonts w:ascii="Arial" w:hAnsi="Arial" w:cs="Arial"/>
          <w:sz w:val="24"/>
          <w:szCs w:val="24"/>
        </w:rPr>
        <w:t xml:space="preserve"> patients had been treated under the scheme</w:t>
      </w:r>
      <w:r>
        <w:rPr>
          <w:rFonts w:ascii="Arial" w:hAnsi="Arial" w:cs="Arial"/>
          <w:sz w:val="24"/>
          <w:szCs w:val="24"/>
        </w:rPr>
        <w:t xml:space="preserve"> by 31 October 2025 (over a period of 66 weeks)</w:t>
      </w:r>
      <w:r w:rsidR="00DF542A">
        <w:rPr>
          <w:rFonts w:ascii="Arial" w:hAnsi="Arial" w:cs="Arial"/>
          <w:sz w:val="24"/>
          <w:szCs w:val="24"/>
        </w:rPr>
        <w:t xml:space="preserve">. </w:t>
      </w:r>
    </w:p>
    <w:p w:rsidR="0071478E" w:rsidRDefault="00DF542A" w:rsidP="009722B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graph below illustrates</w:t>
      </w:r>
      <w:r w:rsidR="00E85764">
        <w:rPr>
          <w:rFonts w:ascii="Arial" w:hAnsi="Arial" w:cs="Arial"/>
          <w:sz w:val="24"/>
          <w:szCs w:val="24"/>
        </w:rPr>
        <w:t xml:space="preserve"> </w:t>
      </w:r>
      <w:r w:rsidR="0071478E">
        <w:rPr>
          <w:rFonts w:ascii="Arial" w:hAnsi="Arial" w:cs="Arial"/>
          <w:sz w:val="24"/>
          <w:szCs w:val="24"/>
        </w:rPr>
        <w:t>how activity has increased</w:t>
      </w:r>
      <w:r w:rsidR="006518C1">
        <w:rPr>
          <w:rFonts w:ascii="Arial" w:hAnsi="Arial" w:cs="Arial"/>
          <w:sz w:val="24"/>
          <w:szCs w:val="24"/>
        </w:rPr>
        <w:t xml:space="preserve"> significant</w:t>
      </w:r>
      <w:r w:rsidR="0071478E">
        <w:rPr>
          <w:rFonts w:ascii="Arial" w:hAnsi="Arial" w:cs="Arial"/>
          <w:sz w:val="24"/>
          <w:szCs w:val="24"/>
        </w:rPr>
        <w:t>ly in recent weeks.  Indeed, between weeks 24 and 29, the average number of patients seen was 823 which is 164% of the initially assumed 500 patients per week.</w:t>
      </w:r>
      <w:r w:rsidR="006518C1">
        <w:rPr>
          <w:rFonts w:ascii="Arial" w:hAnsi="Arial" w:cs="Arial"/>
          <w:sz w:val="24"/>
          <w:szCs w:val="24"/>
        </w:rPr>
        <w:t xml:space="preserve"> </w:t>
      </w:r>
    </w:p>
    <w:p w:rsidR="00205091" w:rsidRPr="00AF2B06" w:rsidRDefault="00D56110" w:rsidP="009722B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Activity levels</w:t>
      </w:r>
      <w:r w:rsidR="00AF2B06">
        <w:rPr>
          <w:rFonts w:ascii="Arial" w:hAnsi="Arial" w:cs="Arial"/>
          <w:sz w:val="24"/>
          <w:szCs w:val="24"/>
        </w:rPr>
        <w:t xml:space="preserve"> for weeks 30 and 31</w:t>
      </w:r>
      <w:r w:rsidR="00DF542A">
        <w:rPr>
          <w:rFonts w:ascii="Arial" w:hAnsi="Arial" w:cs="Arial"/>
          <w:sz w:val="24"/>
          <w:szCs w:val="24"/>
        </w:rPr>
        <w:t xml:space="preserve"> ar</w:t>
      </w:r>
      <w:r w:rsidR="002975F4">
        <w:rPr>
          <w:rFonts w:ascii="Arial" w:hAnsi="Arial" w:cs="Arial"/>
          <w:sz w:val="24"/>
          <w:szCs w:val="24"/>
        </w:rPr>
        <w:t xml:space="preserve">e </w:t>
      </w:r>
      <w:r w:rsidR="00AB45B7" w:rsidRPr="00B45A01">
        <w:rPr>
          <w:rFonts w:ascii="Arial" w:hAnsi="Arial" w:cs="Arial"/>
          <w:sz w:val="24"/>
          <w:szCs w:val="24"/>
        </w:rPr>
        <w:t xml:space="preserve">expected to increase </w:t>
      </w:r>
      <w:r w:rsidR="00AF2B06">
        <w:rPr>
          <w:rFonts w:ascii="Arial" w:hAnsi="Arial" w:cs="Arial"/>
          <w:sz w:val="24"/>
          <w:szCs w:val="24"/>
        </w:rPr>
        <w:t xml:space="preserve">to similar levels </w:t>
      </w:r>
      <w:r w:rsidR="00E85764">
        <w:rPr>
          <w:rFonts w:ascii="Arial" w:hAnsi="Arial" w:cs="Arial"/>
          <w:sz w:val="24"/>
          <w:szCs w:val="24"/>
        </w:rPr>
        <w:t>by the time all</w:t>
      </w:r>
      <w:r w:rsidR="00AF2B06">
        <w:rPr>
          <w:rFonts w:ascii="Arial" w:hAnsi="Arial" w:cs="Arial"/>
          <w:sz w:val="24"/>
          <w:szCs w:val="24"/>
        </w:rPr>
        <w:t xml:space="preserve"> claims </w:t>
      </w:r>
      <w:r w:rsidR="00E85764">
        <w:rPr>
          <w:rFonts w:ascii="Arial" w:hAnsi="Arial" w:cs="Arial"/>
          <w:sz w:val="24"/>
          <w:szCs w:val="24"/>
        </w:rPr>
        <w:t>have been</w:t>
      </w:r>
      <w:r w:rsidR="00AF2B06">
        <w:rPr>
          <w:rFonts w:ascii="Arial" w:hAnsi="Arial" w:cs="Arial"/>
          <w:sz w:val="24"/>
          <w:szCs w:val="24"/>
        </w:rPr>
        <w:t xml:space="preserve"> received and processed.</w:t>
      </w:r>
    </w:p>
    <w:p w:rsidR="00C60C2B" w:rsidRPr="008310D6" w:rsidRDefault="008310D6" w:rsidP="008310D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A773FC5">
            <wp:simplePos x="0" y="0"/>
            <wp:positionH relativeFrom="column">
              <wp:posOffset>439528</wp:posOffset>
            </wp:positionH>
            <wp:positionV relativeFrom="paragraph">
              <wp:posOffset>6110</wp:posOffset>
            </wp:positionV>
            <wp:extent cx="5011420" cy="2920365"/>
            <wp:effectExtent l="0" t="0" r="0" b="0"/>
            <wp:wrapTight wrapText="bothSides">
              <wp:wrapPolygon edited="0">
                <wp:start x="0" y="0"/>
                <wp:lineTo x="0" y="21417"/>
                <wp:lineTo x="21512" y="21417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20" cy="292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22B6" w:rsidRPr="009722B6" w:rsidRDefault="009722B6" w:rsidP="00896E78">
      <w:pPr>
        <w:jc w:val="center"/>
        <w:rPr>
          <w:rFonts w:ascii="Arial" w:hAnsi="Arial" w:cs="Arial"/>
          <w:sz w:val="24"/>
          <w:szCs w:val="24"/>
        </w:rPr>
      </w:pPr>
    </w:p>
    <w:p w:rsidR="00C37071" w:rsidRDefault="00C37071" w:rsidP="003303D3">
      <w:pPr>
        <w:jc w:val="center"/>
        <w:rPr>
          <w:rFonts w:ascii="Arial" w:hAnsi="Arial" w:cs="Arial"/>
          <w:sz w:val="26"/>
          <w:szCs w:val="26"/>
        </w:rPr>
      </w:pPr>
    </w:p>
    <w:p w:rsidR="005C3580" w:rsidRDefault="005C3580" w:rsidP="003303D3">
      <w:pPr>
        <w:jc w:val="center"/>
        <w:rPr>
          <w:rFonts w:ascii="Arial" w:hAnsi="Arial" w:cs="Arial"/>
          <w:sz w:val="26"/>
          <w:szCs w:val="26"/>
        </w:rPr>
      </w:pPr>
    </w:p>
    <w:p w:rsidR="005C3580" w:rsidRDefault="005C3580" w:rsidP="003303D3">
      <w:pPr>
        <w:jc w:val="center"/>
        <w:rPr>
          <w:rFonts w:ascii="Arial" w:hAnsi="Arial" w:cs="Arial"/>
          <w:sz w:val="26"/>
          <w:szCs w:val="26"/>
        </w:rPr>
      </w:pPr>
    </w:p>
    <w:p w:rsidR="00F21E62" w:rsidRDefault="00F21E62" w:rsidP="007A3D6D">
      <w:pPr>
        <w:jc w:val="center"/>
        <w:rPr>
          <w:rFonts w:ascii="Arial" w:hAnsi="Arial" w:cs="Arial"/>
          <w:sz w:val="26"/>
          <w:szCs w:val="26"/>
        </w:rPr>
      </w:pPr>
    </w:p>
    <w:p w:rsidR="004E3CA9" w:rsidRDefault="004E3CA9" w:rsidP="00D14087">
      <w:pPr>
        <w:jc w:val="center"/>
        <w:rPr>
          <w:rFonts w:ascii="Arial" w:hAnsi="Arial" w:cs="Arial"/>
          <w:sz w:val="26"/>
          <w:szCs w:val="26"/>
        </w:rPr>
      </w:pPr>
    </w:p>
    <w:p w:rsidR="005C3580" w:rsidRDefault="005C3580" w:rsidP="00D14087">
      <w:pPr>
        <w:jc w:val="center"/>
        <w:rPr>
          <w:rFonts w:ascii="Arial" w:hAnsi="Arial" w:cs="Arial"/>
          <w:sz w:val="26"/>
          <w:szCs w:val="26"/>
        </w:rPr>
      </w:pPr>
    </w:p>
    <w:p w:rsidR="008310D6" w:rsidRDefault="008310D6" w:rsidP="008310D6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The charts below </w:t>
      </w:r>
      <w:r w:rsidR="00D56110">
        <w:rPr>
          <w:rFonts w:ascii="Arial" w:hAnsi="Arial" w:cs="Arial"/>
          <w:sz w:val="26"/>
          <w:szCs w:val="26"/>
        </w:rPr>
        <w:t>display a breakdown of</w:t>
      </w:r>
      <w:r>
        <w:rPr>
          <w:rFonts w:ascii="Arial" w:hAnsi="Arial" w:cs="Arial"/>
          <w:sz w:val="26"/>
          <w:szCs w:val="26"/>
        </w:rPr>
        <w:t xml:space="preserve"> activity across the various LCG areas.  It is interesting to note that Belfast LCG has the lowest level of activity despite having the highest </w:t>
      </w:r>
      <w:r w:rsidR="006E04B3">
        <w:rPr>
          <w:rFonts w:ascii="Arial" w:hAnsi="Arial" w:cs="Arial"/>
          <w:sz w:val="26"/>
          <w:szCs w:val="26"/>
        </w:rPr>
        <w:t>number</w:t>
      </w:r>
      <w:r>
        <w:rPr>
          <w:rFonts w:ascii="Arial" w:hAnsi="Arial" w:cs="Arial"/>
          <w:sz w:val="26"/>
          <w:szCs w:val="26"/>
        </w:rPr>
        <w:t xml:space="preserve"> of participating practices (</w:t>
      </w:r>
      <w:proofErr w:type="spellStart"/>
      <w:r>
        <w:rPr>
          <w:rFonts w:ascii="Arial" w:hAnsi="Arial" w:cs="Arial"/>
          <w:sz w:val="26"/>
          <w:szCs w:val="26"/>
        </w:rPr>
        <w:t>ie</w:t>
      </w:r>
      <w:proofErr w:type="spellEnd"/>
      <w:r>
        <w:rPr>
          <w:rFonts w:ascii="Arial" w:hAnsi="Arial" w:cs="Arial"/>
          <w:sz w:val="26"/>
          <w:szCs w:val="26"/>
        </w:rPr>
        <w:t xml:space="preserve"> 10).  </w:t>
      </w:r>
      <w:r w:rsidR="006E04B3">
        <w:rPr>
          <w:rFonts w:ascii="Arial" w:hAnsi="Arial" w:cs="Arial"/>
          <w:sz w:val="26"/>
          <w:szCs w:val="26"/>
        </w:rPr>
        <w:t>Conversely</w:t>
      </w:r>
      <w:r>
        <w:rPr>
          <w:rFonts w:ascii="Arial" w:hAnsi="Arial" w:cs="Arial"/>
          <w:sz w:val="26"/>
          <w:szCs w:val="26"/>
        </w:rPr>
        <w:t xml:space="preserve">, the 4 practices </w:t>
      </w:r>
      <w:r w:rsidR="006E04B3">
        <w:rPr>
          <w:rFonts w:ascii="Arial" w:hAnsi="Arial" w:cs="Arial"/>
          <w:sz w:val="26"/>
          <w:szCs w:val="26"/>
        </w:rPr>
        <w:t>from the West</w:t>
      </w:r>
      <w:r>
        <w:rPr>
          <w:rFonts w:ascii="Arial" w:hAnsi="Arial" w:cs="Arial"/>
          <w:sz w:val="26"/>
          <w:szCs w:val="26"/>
        </w:rPr>
        <w:t xml:space="preserve"> </w:t>
      </w:r>
      <w:r w:rsidR="00D56110">
        <w:rPr>
          <w:rFonts w:ascii="Arial" w:hAnsi="Arial" w:cs="Arial"/>
          <w:sz w:val="26"/>
          <w:szCs w:val="26"/>
        </w:rPr>
        <w:t xml:space="preserve">have </w:t>
      </w:r>
      <w:r>
        <w:rPr>
          <w:rFonts w:ascii="Arial" w:hAnsi="Arial" w:cs="Arial"/>
          <w:sz w:val="26"/>
          <w:szCs w:val="26"/>
        </w:rPr>
        <w:t>treated twice as many patients as</w:t>
      </w:r>
      <w:r w:rsidR="00D56110">
        <w:rPr>
          <w:rFonts w:ascii="Arial" w:hAnsi="Arial" w:cs="Arial"/>
          <w:sz w:val="26"/>
          <w:szCs w:val="26"/>
        </w:rPr>
        <w:t xml:space="preserve"> those in</w:t>
      </w:r>
      <w:r>
        <w:rPr>
          <w:rFonts w:ascii="Arial" w:hAnsi="Arial" w:cs="Arial"/>
          <w:sz w:val="26"/>
          <w:szCs w:val="26"/>
        </w:rPr>
        <w:t xml:space="preserve"> Belfast LCG.  It should also be noted that </w:t>
      </w:r>
      <w:r w:rsidR="0088763C">
        <w:rPr>
          <w:rFonts w:ascii="Arial" w:hAnsi="Arial" w:cs="Arial"/>
          <w:sz w:val="26"/>
          <w:szCs w:val="26"/>
        </w:rPr>
        <w:t>3</w:t>
      </w:r>
      <w:r>
        <w:rPr>
          <w:rFonts w:ascii="Arial" w:hAnsi="Arial" w:cs="Arial"/>
          <w:sz w:val="26"/>
          <w:szCs w:val="26"/>
        </w:rPr>
        <w:t xml:space="preserve"> of the </w:t>
      </w:r>
      <w:r w:rsidR="0088763C">
        <w:rPr>
          <w:rFonts w:ascii="Arial" w:hAnsi="Arial" w:cs="Arial"/>
          <w:sz w:val="26"/>
          <w:szCs w:val="26"/>
        </w:rPr>
        <w:t>4</w:t>
      </w:r>
      <w:r>
        <w:rPr>
          <w:rFonts w:ascii="Arial" w:hAnsi="Arial" w:cs="Arial"/>
          <w:sz w:val="26"/>
          <w:szCs w:val="26"/>
        </w:rPr>
        <w:t xml:space="preserve"> practices in </w:t>
      </w:r>
      <w:r w:rsidR="006E04B3">
        <w:rPr>
          <w:rFonts w:ascii="Arial" w:hAnsi="Arial" w:cs="Arial"/>
          <w:sz w:val="26"/>
          <w:szCs w:val="26"/>
        </w:rPr>
        <w:t>Western LCG</w:t>
      </w:r>
      <w:r>
        <w:rPr>
          <w:rFonts w:ascii="Arial" w:hAnsi="Arial" w:cs="Arial"/>
          <w:sz w:val="26"/>
          <w:szCs w:val="26"/>
        </w:rPr>
        <w:t xml:space="preserve"> are situated in Limavady, with the fourth in Strabane.  There is</w:t>
      </w:r>
      <w:r w:rsidR="0088763C">
        <w:rPr>
          <w:rFonts w:ascii="Arial" w:hAnsi="Arial" w:cs="Arial"/>
          <w:sz w:val="26"/>
          <w:szCs w:val="26"/>
        </w:rPr>
        <w:t xml:space="preserve"> therefore limited access to DAS in the Western area, with no local provision</w:t>
      </w:r>
      <w:r w:rsidR="006E04B3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in the South West of the region.</w:t>
      </w:r>
    </w:p>
    <w:p w:rsidR="00896E78" w:rsidRDefault="00F12976" w:rsidP="00D14087">
      <w:pPr>
        <w:jc w:val="center"/>
        <w:rPr>
          <w:rFonts w:ascii="Arial" w:hAnsi="Arial" w:cs="Arial"/>
          <w:sz w:val="26"/>
          <w:szCs w:val="26"/>
        </w:rPr>
      </w:pPr>
      <w:r>
        <w:rPr>
          <w:noProof/>
        </w:rPr>
        <w:drawing>
          <wp:inline distT="0" distB="0" distL="0" distR="0" wp14:anchorId="58B09858" wp14:editId="3D0A0609">
            <wp:extent cx="5305424" cy="3190875"/>
            <wp:effectExtent l="0" t="0" r="10160" b="9525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99A5B920-0B09-433E-A735-09DDE9718C3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12976" w:rsidRDefault="00F12976" w:rsidP="00D14087">
      <w:pPr>
        <w:jc w:val="center"/>
        <w:rPr>
          <w:rFonts w:ascii="Arial" w:hAnsi="Arial" w:cs="Arial"/>
          <w:sz w:val="26"/>
          <w:szCs w:val="26"/>
        </w:rPr>
      </w:pPr>
    </w:p>
    <w:p w:rsidR="00F12976" w:rsidRDefault="00F12976" w:rsidP="00D14087">
      <w:pPr>
        <w:jc w:val="center"/>
        <w:rPr>
          <w:rFonts w:ascii="Arial" w:hAnsi="Arial" w:cs="Arial"/>
          <w:sz w:val="26"/>
          <w:szCs w:val="26"/>
        </w:rPr>
      </w:pPr>
      <w:r>
        <w:rPr>
          <w:noProof/>
        </w:rPr>
        <w:drawing>
          <wp:inline distT="0" distB="0" distL="0" distR="0" wp14:anchorId="76BDD810" wp14:editId="45D13FDF">
            <wp:extent cx="5553075" cy="3467100"/>
            <wp:effectExtent l="0" t="0" r="9525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B9249CC6-1751-428C-88A7-F8A1BC7E11A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12976" w:rsidRDefault="00F12976" w:rsidP="00D14087">
      <w:pPr>
        <w:jc w:val="center"/>
        <w:rPr>
          <w:rFonts w:ascii="Arial" w:hAnsi="Arial" w:cs="Arial"/>
          <w:sz w:val="26"/>
          <w:szCs w:val="26"/>
        </w:rPr>
      </w:pPr>
    </w:p>
    <w:p w:rsidR="003F7209" w:rsidRDefault="003F7209" w:rsidP="00993381">
      <w:pPr>
        <w:pStyle w:val="ListParagraph"/>
        <w:numPr>
          <w:ilvl w:val="0"/>
          <w:numId w:val="11"/>
        </w:numPr>
        <w:rPr>
          <w:rFonts w:ascii="Arial" w:hAnsi="Arial" w:cs="Arial"/>
          <w:b/>
          <w:sz w:val="24"/>
          <w:szCs w:val="24"/>
        </w:rPr>
      </w:pPr>
      <w:proofErr w:type="spellStart"/>
      <w:r w:rsidRPr="00993381">
        <w:rPr>
          <w:rFonts w:ascii="Arial" w:hAnsi="Arial" w:cs="Arial"/>
          <w:b/>
          <w:sz w:val="24"/>
          <w:szCs w:val="24"/>
        </w:rPr>
        <w:lastRenderedPageBreak/>
        <w:t>Casemix</w:t>
      </w:r>
      <w:proofErr w:type="spellEnd"/>
    </w:p>
    <w:p w:rsidR="00B6267F" w:rsidRPr="00993381" w:rsidRDefault="00B6267F" w:rsidP="00B6267F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5C3580" w:rsidRDefault="00F12976" w:rsidP="00B729A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8BE450E" wp14:editId="6F0F45A9">
            <wp:extent cx="5781675" cy="2724150"/>
            <wp:effectExtent l="0" t="0" r="9525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323309D-FB0D-4EC3-B6AC-1953595213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6267F" w:rsidRDefault="00B6267F" w:rsidP="00B729AE">
      <w:pPr>
        <w:rPr>
          <w:rFonts w:ascii="Arial" w:hAnsi="Arial" w:cs="Arial"/>
          <w:sz w:val="24"/>
          <w:szCs w:val="24"/>
        </w:rPr>
      </w:pPr>
    </w:p>
    <w:p w:rsidR="001879EA" w:rsidRDefault="000C4FB2" w:rsidP="00B729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Whilst the graph</w:t>
      </w:r>
      <w:r w:rsidR="00765772">
        <w:rPr>
          <w:rFonts w:ascii="Arial" w:hAnsi="Arial" w:cs="Arial"/>
          <w:sz w:val="24"/>
          <w:szCs w:val="24"/>
        </w:rPr>
        <w:t xml:space="preserve"> above</w:t>
      </w:r>
      <w:r>
        <w:rPr>
          <w:rFonts w:ascii="Arial" w:hAnsi="Arial" w:cs="Arial"/>
          <w:sz w:val="24"/>
          <w:szCs w:val="24"/>
        </w:rPr>
        <w:t xml:space="preserve"> illustrates fluctuation in the proportion of patients presenting with Urgent and Pressing needs, the pie chart below confirms stability with 3</w:t>
      </w:r>
      <w:r w:rsidR="001879EA">
        <w:rPr>
          <w:rFonts w:ascii="Arial" w:hAnsi="Arial" w:cs="Arial"/>
          <w:sz w:val="24"/>
          <w:szCs w:val="24"/>
        </w:rPr>
        <w:t>1%</w:t>
      </w:r>
      <w:r w:rsidR="00D1222A" w:rsidRPr="00993381">
        <w:rPr>
          <w:rFonts w:ascii="Arial" w:hAnsi="Arial" w:cs="Arial"/>
          <w:sz w:val="24"/>
          <w:szCs w:val="24"/>
        </w:rPr>
        <w:t xml:space="preserve"> of </w:t>
      </w:r>
      <w:r w:rsidR="00091596" w:rsidRPr="00993381">
        <w:rPr>
          <w:rFonts w:ascii="Arial" w:hAnsi="Arial" w:cs="Arial"/>
          <w:sz w:val="24"/>
          <w:szCs w:val="24"/>
        </w:rPr>
        <w:t xml:space="preserve">the </w:t>
      </w:r>
      <w:r w:rsidR="00955CDE" w:rsidRPr="00993381">
        <w:rPr>
          <w:rFonts w:ascii="Arial" w:hAnsi="Arial" w:cs="Arial"/>
          <w:sz w:val="24"/>
          <w:szCs w:val="24"/>
        </w:rPr>
        <w:t>total</w:t>
      </w:r>
      <w:r w:rsidR="00F21E62" w:rsidRPr="00993381">
        <w:rPr>
          <w:rFonts w:ascii="Arial" w:hAnsi="Arial" w:cs="Arial"/>
          <w:sz w:val="24"/>
          <w:szCs w:val="24"/>
        </w:rPr>
        <w:t xml:space="preserve"> </w:t>
      </w:r>
      <w:r w:rsidR="001879EA">
        <w:rPr>
          <w:rFonts w:ascii="Arial" w:hAnsi="Arial" w:cs="Arial"/>
          <w:sz w:val="24"/>
          <w:szCs w:val="24"/>
        </w:rPr>
        <w:t>3</w:t>
      </w:r>
      <w:r w:rsidR="006E04B3">
        <w:rPr>
          <w:rFonts w:ascii="Arial" w:hAnsi="Arial" w:cs="Arial"/>
          <w:sz w:val="24"/>
          <w:szCs w:val="24"/>
        </w:rPr>
        <w:t>4,321</w:t>
      </w:r>
      <w:r w:rsidR="00091596" w:rsidRPr="00993381">
        <w:rPr>
          <w:rFonts w:ascii="Arial" w:hAnsi="Arial" w:cs="Arial"/>
          <w:sz w:val="24"/>
          <w:szCs w:val="24"/>
        </w:rPr>
        <w:t xml:space="preserve"> </w:t>
      </w:r>
      <w:r w:rsidR="00D1222A" w:rsidRPr="00993381">
        <w:rPr>
          <w:rFonts w:ascii="Arial" w:hAnsi="Arial" w:cs="Arial"/>
          <w:sz w:val="24"/>
          <w:szCs w:val="24"/>
        </w:rPr>
        <w:t>patients treated under the scheme requir</w:t>
      </w:r>
      <w:r>
        <w:rPr>
          <w:rFonts w:ascii="Arial" w:hAnsi="Arial" w:cs="Arial"/>
          <w:sz w:val="24"/>
          <w:szCs w:val="24"/>
        </w:rPr>
        <w:t>ing</w:t>
      </w:r>
      <w:r w:rsidR="00D1222A" w:rsidRPr="00993381">
        <w:rPr>
          <w:rFonts w:ascii="Arial" w:hAnsi="Arial" w:cs="Arial"/>
          <w:sz w:val="24"/>
          <w:szCs w:val="24"/>
        </w:rPr>
        <w:t xml:space="preserve"> urgent treatment</w:t>
      </w:r>
      <w:r>
        <w:rPr>
          <w:rFonts w:ascii="Arial" w:hAnsi="Arial" w:cs="Arial"/>
          <w:sz w:val="24"/>
          <w:szCs w:val="24"/>
        </w:rPr>
        <w:t>, and 6</w:t>
      </w:r>
      <w:r w:rsidR="001879EA">
        <w:rPr>
          <w:rFonts w:ascii="Arial" w:hAnsi="Arial" w:cs="Arial"/>
          <w:sz w:val="24"/>
          <w:szCs w:val="24"/>
        </w:rPr>
        <w:t>9</w:t>
      </w:r>
      <w:r w:rsidR="00FD33AF" w:rsidRPr="00993381">
        <w:rPr>
          <w:rFonts w:ascii="Arial" w:hAnsi="Arial" w:cs="Arial"/>
          <w:sz w:val="24"/>
          <w:szCs w:val="24"/>
        </w:rPr>
        <w:t>%</w:t>
      </w:r>
      <w:r w:rsidR="00D1222A" w:rsidRPr="0099338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with</w:t>
      </w:r>
      <w:r w:rsidR="00D1222A" w:rsidRPr="00993381">
        <w:rPr>
          <w:rFonts w:ascii="Arial" w:hAnsi="Arial" w:cs="Arial"/>
          <w:sz w:val="24"/>
          <w:szCs w:val="24"/>
        </w:rPr>
        <w:t xml:space="preserve"> a pressing need. </w:t>
      </w:r>
      <w:r w:rsidR="00C604DB" w:rsidRPr="00993381">
        <w:rPr>
          <w:rFonts w:ascii="Arial" w:hAnsi="Arial" w:cs="Arial"/>
          <w:sz w:val="24"/>
          <w:szCs w:val="24"/>
        </w:rPr>
        <w:t xml:space="preserve">These </w:t>
      </w:r>
      <w:r w:rsidR="00765772">
        <w:rPr>
          <w:rFonts w:ascii="Arial" w:hAnsi="Arial" w:cs="Arial"/>
          <w:sz w:val="24"/>
          <w:szCs w:val="24"/>
        </w:rPr>
        <w:t>percentages have rema</w:t>
      </w:r>
      <w:r w:rsidR="00A4689B">
        <w:rPr>
          <w:rFonts w:ascii="Arial" w:hAnsi="Arial" w:cs="Arial"/>
          <w:sz w:val="24"/>
          <w:szCs w:val="24"/>
        </w:rPr>
        <w:t>ined within +/-1% for many months.</w:t>
      </w:r>
      <w:r>
        <w:rPr>
          <w:rFonts w:ascii="Arial" w:hAnsi="Arial" w:cs="Arial"/>
          <w:sz w:val="24"/>
          <w:szCs w:val="24"/>
        </w:rPr>
        <w:t xml:space="preserve"> </w:t>
      </w:r>
      <w:r w:rsidR="00E5773F" w:rsidRPr="00993381">
        <w:rPr>
          <w:rFonts w:ascii="Arial" w:hAnsi="Arial" w:cs="Arial"/>
          <w:sz w:val="24"/>
          <w:szCs w:val="24"/>
        </w:rPr>
        <w:t xml:space="preserve"> </w:t>
      </w:r>
    </w:p>
    <w:p w:rsidR="00B6267F" w:rsidRDefault="00B6267F" w:rsidP="00B729AE">
      <w:pPr>
        <w:rPr>
          <w:rFonts w:ascii="Arial" w:hAnsi="Arial" w:cs="Arial"/>
          <w:sz w:val="24"/>
          <w:szCs w:val="24"/>
        </w:rPr>
      </w:pPr>
    </w:p>
    <w:p w:rsidR="00765772" w:rsidRDefault="00F12976" w:rsidP="001879EA">
      <w:pPr>
        <w:jc w:val="center"/>
        <w:rPr>
          <w:rFonts w:ascii="Arial" w:hAnsi="Arial" w:cs="Arial"/>
          <w:noProof/>
          <w:sz w:val="26"/>
          <w:szCs w:val="26"/>
        </w:rPr>
      </w:pPr>
      <w:r>
        <w:rPr>
          <w:noProof/>
        </w:rPr>
        <w:drawing>
          <wp:inline distT="0" distB="0" distL="0" distR="0" wp14:anchorId="7521520B" wp14:editId="57D5A7B2">
            <wp:extent cx="4543424" cy="2409825"/>
            <wp:effectExtent l="0" t="0" r="10160" b="9525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1AA79E02-CF0C-44ED-9861-C531A42950C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773DE" w:rsidRDefault="00C773DE" w:rsidP="006E04B3">
      <w:pPr>
        <w:rPr>
          <w:rFonts w:ascii="Arial" w:hAnsi="Arial" w:cs="Arial"/>
          <w:sz w:val="26"/>
          <w:szCs w:val="26"/>
        </w:rPr>
      </w:pPr>
    </w:p>
    <w:p w:rsidR="00B6267F" w:rsidRDefault="00B6267F" w:rsidP="006E04B3">
      <w:pPr>
        <w:rPr>
          <w:rFonts w:ascii="Arial" w:hAnsi="Arial" w:cs="Arial"/>
          <w:sz w:val="26"/>
          <w:szCs w:val="26"/>
        </w:rPr>
      </w:pPr>
    </w:p>
    <w:p w:rsidR="00B6267F" w:rsidRPr="00C676E1" w:rsidRDefault="00B6267F" w:rsidP="00B6267F">
      <w:pPr>
        <w:rPr>
          <w:rFonts w:ascii="Arial" w:hAnsi="Arial" w:cs="Arial"/>
          <w:sz w:val="24"/>
          <w:szCs w:val="24"/>
        </w:rPr>
      </w:pPr>
      <w:r w:rsidRPr="00C676E1">
        <w:rPr>
          <w:rFonts w:ascii="Arial" w:hAnsi="Arial" w:cs="Arial"/>
          <w:sz w:val="24"/>
          <w:szCs w:val="24"/>
        </w:rPr>
        <w:t xml:space="preserve">The proportion of patients who were asylum seekers </w:t>
      </w:r>
      <w:r>
        <w:rPr>
          <w:rFonts w:ascii="Arial" w:hAnsi="Arial" w:cs="Arial"/>
          <w:sz w:val="24"/>
          <w:szCs w:val="24"/>
        </w:rPr>
        <w:t>further decreased during October to 1.3%.</w:t>
      </w:r>
    </w:p>
    <w:p w:rsidR="00B6267F" w:rsidRDefault="00B6267F" w:rsidP="006E04B3">
      <w:pPr>
        <w:rPr>
          <w:rFonts w:ascii="Arial" w:hAnsi="Arial" w:cs="Arial"/>
          <w:sz w:val="26"/>
          <w:szCs w:val="26"/>
        </w:rPr>
      </w:pPr>
    </w:p>
    <w:p w:rsidR="00B6267F" w:rsidRDefault="00B6267F" w:rsidP="006E04B3">
      <w:pPr>
        <w:rPr>
          <w:rFonts w:ascii="Arial" w:hAnsi="Arial" w:cs="Arial"/>
          <w:sz w:val="26"/>
          <w:szCs w:val="26"/>
        </w:rPr>
      </w:pPr>
    </w:p>
    <w:p w:rsidR="00B6267F" w:rsidRDefault="00B6267F" w:rsidP="006E04B3">
      <w:pPr>
        <w:rPr>
          <w:rFonts w:ascii="Arial" w:hAnsi="Arial" w:cs="Arial"/>
          <w:sz w:val="26"/>
          <w:szCs w:val="26"/>
        </w:rPr>
      </w:pPr>
    </w:p>
    <w:p w:rsidR="0092196D" w:rsidRDefault="006E04B3" w:rsidP="006E04B3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The graph below shows </w:t>
      </w:r>
      <w:r w:rsidR="00C773DE">
        <w:rPr>
          <w:rFonts w:ascii="Arial" w:hAnsi="Arial" w:cs="Arial"/>
          <w:sz w:val="26"/>
          <w:szCs w:val="26"/>
        </w:rPr>
        <w:t>total activity</w:t>
      </w:r>
      <w:r w:rsidR="0021413D">
        <w:rPr>
          <w:rFonts w:ascii="Arial" w:hAnsi="Arial" w:cs="Arial"/>
          <w:sz w:val="26"/>
          <w:szCs w:val="26"/>
        </w:rPr>
        <w:t xml:space="preserve"> between 1 April and 31 October 2025</w:t>
      </w:r>
      <w:r w:rsidR="00C773DE">
        <w:rPr>
          <w:rFonts w:ascii="Arial" w:hAnsi="Arial" w:cs="Arial"/>
          <w:sz w:val="26"/>
          <w:szCs w:val="26"/>
        </w:rPr>
        <w:t>, broken down by</w:t>
      </w:r>
      <w:r>
        <w:rPr>
          <w:rFonts w:ascii="Arial" w:hAnsi="Arial" w:cs="Arial"/>
          <w:sz w:val="26"/>
          <w:szCs w:val="26"/>
        </w:rPr>
        <w:t xml:space="preserve"> </w:t>
      </w:r>
      <w:r w:rsidR="00C773DE">
        <w:rPr>
          <w:rFonts w:ascii="Arial" w:hAnsi="Arial" w:cs="Arial"/>
          <w:sz w:val="26"/>
          <w:szCs w:val="26"/>
        </w:rPr>
        <w:t>urgent and pressing need</w:t>
      </w:r>
      <w:r w:rsidR="0021413D">
        <w:rPr>
          <w:rFonts w:ascii="Arial" w:hAnsi="Arial" w:cs="Arial"/>
          <w:sz w:val="26"/>
          <w:szCs w:val="26"/>
        </w:rPr>
        <w:t>.  As previously stated, the lower activity in weeks 30 and 31 is expected to increase to similar levels as the preceding weeks once all claims have been received and processed.</w:t>
      </w:r>
    </w:p>
    <w:p w:rsidR="006E04B3" w:rsidRDefault="006E04B3" w:rsidP="006E04B3">
      <w:pPr>
        <w:rPr>
          <w:rFonts w:ascii="Arial" w:hAnsi="Arial" w:cs="Arial"/>
          <w:sz w:val="26"/>
          <w:szCs w:val="26"/>
        </w:rPr>
      </w:pPr>
    </w:p>
    <w:p w:rsidR="00EC492D" w:rsidRDefault="00F12976" w:rsidP="00B35A4F">
      <w:pPr>
        <w:rPr>
          <w:rFonts w:ascii="Arial" w:hAnsi="Arial" w:cs="Arial"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2D125A3B" wp14:editId="1F4BD7F7">
            <wp:extent cx="5904230" cy="3274695"/>
            <wp:effectExtent l="0" t="0" r="1270" b="1905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FADE8158-B52C-4E14-A520-56999D2FC0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90BB7" w:rsidRDefault="00990BB7" w:rsidP="00B35A4F">
      <w:pPr>
        <w:rPr>
          <w:rFonts w:ascii="Arial" w:hAnsi="Arial" w:cs="Arial"/>
          <w:b/>
          <w:sz w:val="26"/>
          <w:szCs w:val="26"/>
        </w:rPr>
      </w:pPr>
    </w:p>
    <w:p w:rsidR="0071636C" w:rsidRPr="0045551A" w:rsidRDefault="00FF23BE" w:rsidP="00667D2C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67D2C">
        <w:rPr>
          <w:rFonts w:ascii="Arial" w:hAnsi="Arial" w:cs="Arial"/>
          <w:b/>
          <w:sz w:val="24"/>
          <w:szCs w:val="24"/>
        </w:rPr>
        <w:t xml:space="preserve">DAS </w:t>
      </w:r>
      <w:r w:rsidR="00562965" w:rsidRPr="00667D2C">
        <w:rPr>
          <w:rFonts w:ascii="Arial" w:hAnsi="Arial" w:cs="Arial"/>
          <w:b/>
          <w:sz w:val="24"/>
          <w:szCs w:val="24"/>
        </w:rPr>
        <w:t>Payments to date</w:t>
      </w:r>
      <w:r w:rsidR="00C82154" w:rsidRPr="00667D2C">
        <w:rPr>
          <w:rFonts w:ascii="Arial" w:hAnsi="Arial" w:cs="Arial"/>
          <w:b/>
          <w:sz w:val="24"/>
          <w:szCs w:val="24"/>
        </w:rPr>
        <w:t xml:space="preserve"> </w:t>
      </w:r>
    </w:p>
    <w:p w:rsidR="00205091" w:rsidRDefault="00ED6948" w:rsidP="00692F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table below </w:t>
      </w:r>
      <w:r w:rsidR="00B6267F">
        <w:rPr>
          <w:rFonts w:ascii="Arial" w:hAnsi="Arial" w:cs="Arial"/>
          <w:sz w:val="24"/>
          <w:szCs w:val="24"/>
        </w:rPr>
        <w:t>outline</w:t>
      </w:r>
      <w:r>
        <w:rPr>
          <w:rFonts w:ascii="Arial" w:hAnsi="Arial" w:cs="Arial"/>
          <w:sz w:val="24"/>
          <w:szCs w:val="24"/>
        </w:rPr>
        <w:t xml:space="preserve">s the </w:t>
      </w:r>
      <w:r w:rsidR="000700D6">
        <w:rPr>
          <w:rFonts w:ascii="Arial" w:hAnsi="Arial" w:cs="Arial"/>
          <w:sz w:val="24"/>
          <w:szCs w:val="24"/>
        </w:rPr>
        <w:t>impact</w:t>
      </w:r>
      <w:r>
        <w:rPr>
          <w:rFonts w:ascii="Arial" w:hAnsi="Arial" w:cs="Arial"/>
          <w:sz w:val="24"/>
          <w:szCs w:val="24"/>
        </w:rPr>
        <w:t xml:space="preserve"> </w:t>
      </w:r>
      <w:r w:rsidR="00B6267F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increased activity on the budget.  </w:t>
      </w:r>
      <w:r w:rsidR="000700D6">
        <w:rPr>
          <w:rFonts w:ascii="Arial" w:hAnsi="Arial" w:cs="Arial"/>
          <w:sz w:val="24"/>
          <w:szCs w:val="24"/>
        </w:rPr>
        <w:t>While, for a time, t</w:t>
      </w:r>
      <w:r>
        <w:rPr>
          <w:rFonts w:ascii="Arial" w:hAnsi="Arial" w:cs="Arial"/>
          <w:sz w:val="24"/>
          <w:szCs w:val="24"/>
        </w:rPr>
        <w:t>he greater number of Pressing Need claims</w:t>
      </w:r>
      <w:r w:rsidR="000700D6">
        <w:rPr>
          <w:rFonts w:ascii="Arial" w:hAnsi="Arial" w:cs="Arial"/>
          <w:sz w:val="24"/>
          <w:szCs w:val="24"/>
        </w:rPr>
        <w:t xml:space="preserve"> was </w:t>
      </w:r>
      <w:r>
        <w:rPr>
          <w:rFonts w:ascii="Arial" w:hAnsi="Arial" w:cs="Arial"/>
          <w:sz w:val="24"/>
          <w:szCs w:val="24"/>
        </w:rPr>
        <w:t>balanced</w:t>
      </w:r>
      <w:r w:rsidR="000700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by lower than anticipated levels of Urgent Need and Asylum Seeker claims</w:t>
      </w:r>
      <w:r w:rsidR="000700D6">
        <w:rPr>
          <w:rFonts w:ascii="Arial" w:hAnsi="Arial" w:cs="Arial"/>
          <w:sz w:val="24"/>
          <w:szCs w:val="24"/>
        </w:rPr>
        <w:t>, t</w:t>
      </w:r>
      <w:r>
        <w:rPr>
          <w:rFonts w:ascii="Arial" w:hAnsi="Arial" w:cs="Arial"/>
          <w:sz w:val="24"/>
          <w:szCs w:val="24"/>
        </w:rPr>
        <w:t>h</w:t>
      </w:r>
      <w:r w:rsidR="000700D6">
        <w:rPr>
          <w:rFonts w:ascii="Arial" w:hAnsi="Arial" w:cs="Arial"/>
          <w:sz w:val="24"/>
          <w:szCs w:val="24"/>
        </w:rPr>
        <w:t>e budget</w:t>
      </w:r>
      <w:r w:rsidR="00B6267F">
        <w:rPr>
          <w:rFonts w:ascii="Arial" w:hAnsi="Arial" w:cs="Arial"/>
          <w:sz w:val="24"/>
          <w:szCs w:val="24"/>
        </w:rPr>
        <w:t xml:space="preserve"> is now increasingly overspent.</w:t>
      </w:r>
    </w:p>
    <w:p w:rsidR="0021413D" w:rsidRDefault="0021413D" w:rsidP="00692FBB">
      <w:pPr>
        <w:rPr>
          <w:rFonts w:ascii="Arial" w:hAnsi="Arial" w:cs="Arial"/>
          <w:sz w:val="24"/>
          <w:szCs w:val="24"/>
        </w:rPr>
      </w:pPr>
    </w:p>
    <w:p w:rsidR="005145E2" w:rsidRDefault="00205091" w:rsidP="00692FBB">
      <w:pPr>
        <w:rPr>
          <w:rFonts w:ascii="Arial" w:hAnsi="Arial" w:cs="Arial"/>
          <w:sz w:val="24"/>
          <w:szCs w:val="24"/>
        </w:rPr>
      </w:pPr>
      <w:r w:rsidRPr="00205091">
        <w:rPr>
          <w:noProof/>
        </w:rPr>
        <w:drawing>
          <wp:inline distT="0" distB="0" distL="0" distR="0">
            <wp:extent cx="6370167" cy="14001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141" cy="140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13D" w:rsidRDefault="0021413D" w:rsidP="005145E2">
      <w:pPr>
        <w:rPr>
          <w:rFonts w:ascii="Arial" w:hAnsi="Arial" w:cs="Arial"/>
          <w:sz w:val="24"/>
          <w:szCs w:val="24"/>
        </w:rPr>
      </w:pPr>
    </w:p>
    <w:p w:rsidR="005145E2" w:rsidRDefault="005145E2" w:rsidP="005145E2">
      <w:pPr>
        <w:rPr>
          <w:rFonts w:ascii="Arial" w:hAnsi="Arial" w:cs="Arial"/>
          <w:sz w:val="24"/>
          <w:szCs w:val="24"/>
        </w:rPr>
      </w:pPr>
      <w:r w:rsidRPr="0029646C">
        <w:rPr>
          <w:rFonts w:ascii="Arial" w:hAnsi="Arial" w:cs="Arial"/>
          <w:sz w:val="24"/>
          <w:szCs w:val="24"/>
        </w:rPr>
        <w:t>The</w:t>
      </w:r>
      <w:r w:rsidR="000700D6">
        <w:rPr>
          <w:rFonts w:ascii="Arial" w:hAnsi="Arial" w:cs="Arial"/>
          <w:sz w:val="24"/>
          <w:szCs w:val="24"/>
        </w:rPr>
        <w:t xml:space="preserve"> following graph</w:t>
      </w:r>
      <w:r w:rsidRPr="0029646C">
        <w:rPr>
          <w:rFonts w:ascii="Arial" w:hAnsi="Arial" w:cs="Arial"/>
          <w:sz w:val="24"/>
          <w:szCs w:val="24"/>
        </w:rPr>
        <w:t xml:space="preserve"> provides an alternative illustration of activity exceeding the budget on a consistent </w:t>
      </w:r>
      <w:r w:rsidR="0029646C">
        <w:rPr>
          <w:rFonts w:ascii="Arial" w:hAnsi="Arial" w:cs="Arial"/>
          <w:sz w:val="24"/>
          <w:szCs w:val="24"/>
        </w:rPr>
        <w:t xml:space="preserve">weekly </w:t>
      </w:r>
      <w:r w:rsidRPr="0029646C">
        <w:rPr>
          <w:rFonts w:ascii="Arial" w:hAnsi="Arial" w:cs="Arial"/>
          <w:sz w:val="24"/>
          <w:szCs w:val="24"/>
        </w:rPr>
        <w:t xml:space="preserve">basis </w:t>
      </w:r>
      <w:r w:rsidR="00B6267F">
        <w:rPr>
          <w:rFonts w:ascii="Arial" w:hAnsi="Arial" w:cs="Arial"/>
          <w:sz w:val="24"/>
          <w:szCs w:val="24"/>
        </w:rPr>
        <w:t>with exceptionally high levels of spend in latter weeks</w:t>
      </w:r>
      <w:r w:rsidR="0088763C">
        <w:rPr>
          <w:rFonts w:ascii="Arial" w:hAnsi="Arial" w:cs="Arial"/>
          <w:sz w:val="24"/>
          <w:szCs w:val="24"/>
        </w:rPr>
        <w:t>, where the weekly budget is £64,000</w:t>
      </w:r>
      <w:r w:rsidR="00B6267F">
        <w:rPr>
          <w:rFonts w:ascii="Arial" w:hAnsi="Arial" w:cs="Arial"/>
          <w:sz w:val="24"/>
          <w:szCs w:val="24"/>
        </w:rPr>
        <w:t>.</w:t>
      </w:r>
      <w:r w:rsidR="00ED43A0">
        <w:rPr>
          <w:rFonts w:ascii="Arial" w:hAnsi="Arial" w:cs="Arial"/>
          <w:sz w:val="24"/>
          <w:szCs w:val="24"/>
        </w:rPr>
        <w:t xml:space="preserve">  Again, weeks 30 and 31 are expected to increase </w:t>
      </w:r>
      <w:r w:rsidR="008B6B86">
        <w:rPr>
          <w:rFonts w:ascii="Arial" w:hAnsi="Arial" w:cs="Arial"/>
          <w:sz w:val="24"/>
          <w:szCs w:val="24"/>
        </w:rPr>
        <w:t>significantly</w:t>
      </w:r>
      <w:r w:rsidR="00ED43A0">
        <w:rPr>
          <w:rFonts w:ascii="Arial" w:hAnsi="Arial" w:cs="Arial"/>
          <w:sz w:val="24"/>
          <w:szCs w:val="24"/>
        </w:rPr>
        <w:t xml:space="preserve"> once </w:t>
      </w:r>
      <w:r w:rsidR="008B6B86">
        <w:rPr>
          <w:rFonts w:ascii="Arial" w:hAnsi="Arial" w:cs="Arial"/>
          <w:sz w:val="24"/>
          <w:szCs w:val="24"/>
        </w:rPr>
        <w:t xml:space="preserve">all </w:t>
      </w:r>
      <w:r w:rsidR="00ED43A0">
        <w:rPr>
          <w:rFonts w:ascii="Arial" w:hAnsi="Arial" w:cs="Arial"/>
          <w:sz w:val="24"/>
          <w:szCs w:val="24"/>
        </w:rPr>
        <w:t>claims are received and processed.</w:t>
      </w:r>
    </w:p>
    <w:p w:rsidR="005145E2" w:rsidRDefault="00F12976" w:rsidP="00F95382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D2D5719" wp14:editId="7C38ECAF">
            <wp:extent cx="6021238" cy="2838090"/>
            <wp:effectExtent l="0" t="0" r="17780" b="635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0046F8A7-65ED-442C-AEAA-A02B47853A4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700D6" w:rsidRDefault="000700D6" w:rsidP="00F95382">
      <w:pPr>
        <w:rPr>
          <w:rFonts w:ascii="Arial" w:hAnsi="Arial" w:cs="Arial"/>
          <w:sz w:val="24"/>
          <w:szCs w:val="24"/>
        </w:rPr>
      </w:pPr>
    </w:p>
    <w:p w:rsidR="001C3A56" w:rsidRPr="00993381" w:rsidRDefault="001C3A56" w:rsidP="001C3A56">
      <w:pPr>
        <w:rPr>
          <w:rFonts w:ascii="Arial" w:hAnsi="Arial" w:cs="Arial"/>
          <w:b/>
          <w:sz w:val="24"/>
          <w:szCs w:val="24"/>
        </w:rPr>
      </w:pPr>
      <w:r w:rsidRPr="00993381">
        <w:rPr>
          <w:rFonts w:ascii="Arial" w:hAnsi="Arial" w:cs="Arial"/>
          <w:b/>
          <w:sz w:val="24"/>
          <w:szCs w:val="24"/>
        </w:rPr>
        <w:t>•</w:t>
      </w:r>
      <w:r w:rsidRPr="00993381">
        <w:rPr>
          <w:rFonts w:ascii="Arial" w:hAnsi="Arial" w:cs="Arial"/>
          <w:b/>
          <w:sz w:val="24"/>
          <w:szCs w:val="24"/>
        </w:rPr>
        <w:tab/>
        <w:t>Pre-payment verification of claims</w:t>
      </w:r>
    </w:p>
    <w:p w:rsidR="001C3A56" w:rsidRPr="00993381" w:rsidRDefault="00EE57F5" w:rsidP="001C3A56">
      <w:pPr>
        <w:rPr>
          <w:rFonts w:ascii="Arial" w:hAnsi="Arial" w:cs="Arial"/>
          <w:sz w:val="24"/>
          <w:szCs w:val="24"/>
        </w:rPr>
      </w:pPr>
      <w:r w:rsidRPr="00993381">
        <w:rPr>
          <w:rFonts w:ascii="Arial" w:hAnsi="Arial" w:cs="Arial"/>
          <w:sz w:val="24"/>
          <w:szCs w:val="24"/>
        </w:rPr>
        <w:t xml:space="preserve">All claims submitted are subject to </w:t>
      </w:r>
      <w:r w:rsidR="001C3A56" w:rsidRPr="00993381">
        <w:rPr>
          <w:rFonts w:ascii="Arial" w:hAnsi="Arial" w:cs="Arial"/>
          <w:sz w:val="24"/>
          <w:szCs w:val="24"/>
        </w:rPr>
        <w:t>pre-payment checks</w:t>
      </w:r>
      <w:r w:rsidRPr="00993381">
        <w:rPr>
          <w:rFonts w:ascii="Arial" w:hAnsi="Arial" w:cs="Arial"/>
          <w:sz w:val="24"/>
          <w:szCs w:val="24"/>
        </w:rPr>
        <w:t>, carried out by SPPG</w:t>
      </w:r>
      <w:r w:rsidR="001C3A56" w:rsidRPr="00993381">
        <w:rPr>
          <w:rFonts w:ascii="Arial" w:hAnsi="Arial" w:cs="Arial"/>
          <w:sz w:val="24"/>
          <w:szCs w:val="24"/>
        </w:rPr>
        <w:t>.</w:t>
      </w:r>
    </w:p>
    <w:p w:rsidR="001C3A56" w:rsidRPr="00993381" w:rsidRDefault="00EE57F5" w:rsidP="001C3A56">
      <w:pPr>
        <w:rPr>
          <w:rFonts w:ascii="Arial" w:hAnsi="Arial" w:cs="Arial"/>
          <w:sz w:val="24"/>
          <w:szCs w:val="24"/>
        </w:rPr>
      </w:pPr>
      <w:r w:rsidRPr="00993381">
        <w:rPr>
          <w:rFonts w:ascii="Arial" w:hAnsi="Arial" w:cs="Arial"/>
          <w:sz w:val="24"/>
          <w:szCs w:val="24"/>
        </w:rPr>
        <w:t>Claims relating to treatment for u</w:t>
      </w:r>
      <w:r w:rsidR="001C3A56" w:rsidRPr="00993381">
        <w:rPr>
          <w:rFonts w:ascii="Arial" w:hAnsi="Arial" w:cs="Arial"/>
          <w:sz w:val="24"/>
          <w:szCs w:val="24"/>
        </w:rPr>
        <w:t>nregistered patients are</w:t>
      </w:r>
      <w:r w:rsidRPr="00993381">
        <w:rPr>
          <w:rFonts w:ascii="Arial" w:hAnsi="Arial" w:cs="Arial"/>
          <w:sz w:val="24"/>
          <w:szCs w:val="24"/>
        </w:rPr>
        <w:t xml:space="preserve"> all</w:t>
      </w:r>
      <w:r w:rsidR="001C3A56" w:rsidRPr="00993381">
        <w:rPr>
          <w:rFonts w:ascii="Arial" w:hAnsi="Arial" w:cs="Arial"/>
          <w:sz w:val="24"/>
          <w:szCs w:val="24"/>
        </w:rPr>
        <w:t xml:space="preserve"> eligible for payment. </w:t>
      </w:r>
      <w:bookmarkStart w:id="0" w:name="_GoBack"/>
      <w:bookmarkEnd w:id="0"/>
      <w:r w:rsidR="00AB5A57" w:rsidRPr="00993381">
        <w:rPr>
          <w:rFonts w:ascii="Arial" w:hAnsi="Arial" w:cs="Arial"/>
          <w:sz w:val="24"/>
          <w:szCs w:val="24"/>
        </w:rPr>
        <w:t xml:space="preserve">Additionally, </w:t>
      </w:r>
      <w:r w:rsidRPr="00993381">
        <w:rPr>
          <w:rFonts w:ascii="Arial" w:hAnsi="Arial" w:cs="Arial"/>
          <w:sz w:val="24"/>
          <w:szCs w:val="24"/>
        </w:rPr>
        <w:t>claims relat</w:t>
      </w:r>
      <w:r w:rsidR="00AB5A57" w:rsidRPr="00993381">
        <w:rPr>
          <w:rFonts w:ascii="Arial" w:hAnsi="Arial" w:cs="Arial"/>
          <w:sz w:val="24"/>
          <w:szCs w:val="24"/>
        </w:rPr>
        <w:t>ing</w:t>
      </w:r>
      <w:r w:rsidRPr="00993381">
        <w:rPr>
          <w:rFonts w:ascii="Arial" w:hAnsi="Arial" w:cs="Arial"/>
          <w:sz w:val="24"/>
          <w:szCs w:val="24"/>
        </w:rPr>
        <w:t xml:space="preserve"> to p</w:t>
      </w:r>
      <w:r w:rsidR="001C3A56" w:rsidRPr="00993381">
        <w:rPr>
          <w:rFonts w:ascii="Arial" w:hAnsi="Arial" w:cs="Arial"/>
          <w:sz w:val="24"/>
          <w:szCs w:val="24"/>
        </w:rPr>
        <w:t>atient</w:t>
      </w:r>
      <w:r w:rsidR="00AB5A57" w:rsidRPr="00993381">
        <w:rPr>
          <w:rFonts w:ascii="Arial" w:hAnsi="Arial" w:cs="Arial"/>
          <w:sz w:val="24"/>
          <w:szCs w:val="24"/>
        </w:rPr>
        <w:t xml:space="preserve">s </w:t>
      </w:r>
      <w:r w:rsidR="001C3A56" w:rsidRPr="00993381">
        <w:rPr>
          <w:rFonts w:ascii="Arial" w:hAnsi="Arial" w:cs="Arial"/>
          <w:sz w:val="24"/>
          <w:szCs w:val="24"/>
        </w:rPr>
        <w:t xml:space="preserve">registered with a practice </w:t>
      </w:r>
      <w:r w:rsidR="00AB5A57" w:rsidRPr="00993381">
        <w:rPr>
          <w:rFonts w:ascii="Arial" w:hAnsi="Arial" w:cs="Arial"/>
          <w:sz w:val="24"/>
          <w:szCs w:val="24"/>
        </w:rPr>
        <w:t>other than the claiming practice are also accepted, given that</w:t>
      </w:r>
      <w:r w:rsidR="001C3A56" w:rsidRPr="00993381">
        <w:rPr>
          <w:rFonts w:ascii="Arial" w:hAnsi="Arial" w:cs="Arial"/>
          <w:sz w:val="24"/>
          <w:szCs w:val="24"/>
        </w:rPr>
        <w:t xml:space="preserve"> DAS provider</w:t>
      </w:r>
      <w:r w:rsidR="00AB5A57" w:rsidRPr="00993381">
        <w:rPr>
          <w:rFonts w:ascii="Arial" w:hAnsi="Arial" w:cs="Arial"/>
          <w:sz w:val="24"/>
          <w:szCs w:val="24"/>
        </w:rPr>
        <w:t>s</w:t>
      </w:r>
      <w:r w:rsidR="001C3A56" w:rsidRPr="00993381">
        <w:rPr>
          <w:rFonts w:ascii="Arial" w:hAnsi="Arial" w:cs="Arial"/>
          <w:sz w:val="24"/>
          <w:szCs w:val="24"/>
        </w:rPr>
        <w:t xml:space="preserve"> ha</w:t>
      </w:r>
      <w:r w:rsidR="00AB5A57" w:rsidRPr="00993381">
        <w:rPr>
          <w:rFonts w:ascii="Arial" w:hAnsi="Arial" w:cs="Arial"/>
          <w:sz w:val="24"/>
          <w:szCs w:val="24"/>
        </w:rPr>
        <w:t>ve</w:t>
      </w:r>
      <w:r w:rsidR="001C3A56" w:rsidRPr="00993381">
        <w:rPr>
          <w:rFonts w:ascii="Arial" w:hAnsi="Arial" w:cs="Arial"/>
          <w:sz w:val="24"/>
          <w:szCs w:val="24"/>
        </w:rPr>
        <w:t xml:space="preserve"> no </w:t>
      </w:r>
      <w:r w:rsidR="00AB5A57" w:rsidRPr="00993381">
        <w:rPr>
          <w:rFonts w:ascii="Arial" w:hAnsi="Arial" w:cs="Arial"/>
          <w:sz w:val="24"/>
          <w:szCs w:val="24"/>
        </w:rPr>
        <w:t>means</w:t>
      </w:r>
      <w:r w:rsidR="001C3A56" w:rsidRPr="00993381">
        <w:rPr>
          <w:rFonts w:ascii="Arial" w:hAnsi="Arial" w:cs="Arial"/>
          <w:sz w:val="24"/>
          <w:szCs w:val="24"/>
        </w:rPr>
        <w:t xml:space="preserve"> of checking the registration status of </w:t>
      </w:r>
      <w:r w:rsidR="00AB5A57" w:rsidRPr="00993381">
        <w:rPr>
          <w:rFonts w:ascii="Arial" w:hAnsi="Arial" w:cs="Arial"/>
          <w:sz w:val="24"/>
          <w:szCs w:val="24"/>
        </w:rPr>
        <w:t>patients. They therefore treat patients under the scheme in good faith that they are genuinely not registered elsewhere.</w:t>
      </w:r>
    </w:p>
    <w:p w:rsidR="00091596" w:rsidRPr="00993381" w:rsidRDefault="001C3A56" w:rsidP="001C3A56">
      <w:pPr>
        <w:rPr>
          <w:rFonts w:ascii="Arial" w:hAnsi="Arial" w:cs="Arial"/>
          <w:sz w:val="24"/>
          <w:szCs w:val="24"/>
        </w:rPr>
      </w:pPr>
      <w:r w:rsidRPr="00993381">
        <w:rPr>
          <w:rFonts w:ascii="Arial" w:hAnsi="Arial" w:cs="Arial"/>
          <w:sz w:val="24"/>
          <w:szCs w:val="24"/>
        </w:rPr>
        <w:t>If, however</w:t>
      </w:r>
      <w:r w:rsidR="00B02581">
        <w:rPr>
          <w:rFonts w:ascii="Arial" w:hAnsi="Arial" w:cs="Arial"/>
          <w:sz w:val="24"/>
          <w:szCs w:val="24"/>
        </w:rPr>
        <w:t>,</w:t>
      </w:r>
      <w:r w:rsidRPr="00993381">
        <w:rPr>
          <w:rFonts w:ascii="Arial" w:hAnsi="Arial" w:cs="Arial"/>
          <w:sz w:val="24"/>
          <w:szCs w:val="24"/>
        </w:rPr>
        <w:t xml:space="preserve"> the DAS provider makes a claim for one of their own registered patients</w:t>
      </w:r>
      <w:r w:rsidR="00AB5A57" w:rsidRPr="00993381">
        <w:rPr>
          <w:rFonts w:ascii="Arial" w:hAnsi="Arial" w:cs="Arial"/>
          <w:sz w:val="24"/>
          <w:szCs w:val="24"/>
        </w:rPr>
        <w:t xml:space="preserve">, </w:t>
      </w:r>
      <w:r w:rsidRPr="00993381">
        <w:rPr>
          <w:rFonts w:ascii="Arial" w:hAnsi="Arial" w:cs="Arial"/>
          <w:sz w:val="24"/>
          <w:szCs w:val="24"/>
        </w:rPr>
        <w:t>the patient is removed from the claim form and the claiming practice is notified that the patient is not eligible.</w:t>
      </w:r>
    </w:p>
    <w:p w:rsidR="00FF23BE" w:rsidRPr="00993381" w:rsidRDefault="00FF23BE" w:rsidP="001C3A56">
      <w:pPr>
        <w:rPr>
          <w:rFonts w:ascii="Arial" w:hAnsi="Arial" w:cs="Arial"/>
          <w:sz w:val="24"/>
          <w:szCs w:val="24"/>
        </w:rPr>
      </w:pPr>
    </w:p>
    <w:p w:rsidR="00091596" w:rsidRPr="00993381" w:rsidRDefault="00091596" w:rsidP="00091596">
      <w:pPr>
        <w:pStyle w:val="ListParagraph"/>
        <w:numPr>
          <w:ilvl w:val="0"/>
          <w:numId w:val="11"/>
        </w:numPr>
        <w:rPr>
          <w:rFonts w:ascii="Arial" w:hAnsi="Arial" w:cs="Arial"/>
          <w:b/>
          <w:sz w:val="24"/>
          <w:szCs w:val="24"/>
        </w:rPr>
      </w:pPr>
      <w:r w:rsidRPr="00993381">
        <w:rPr>
          <w:rFonts w:ascii="Arial" w:hAnsi="Arial" w:cs="Arial"/>
          <w:b/>
          <w:sz w:val="24"/>
          <w:szCs w:val="24"/>
        </w:rPr>
        <w:t>Monitoring and Evaluation</w:t>
      </w:r>
    </w:p>
    <w:p w:rsidR="00DF615E" w:rsidRPr="00993381" w:rsidRDefault="00D1222A">
      <w:pPr>
        <w:rPr>
          <w:rFonts w:ascii="Arial" w:hAnsi="Arial" w:cs="Arial"/>
          <w:sz w:val="24"/>
          <w:szCs w:val="24"/>
        </w:rPr>
      </w:pPr>
      <w:r w:rsidRPr="00993381">
        <w:rPr>
          <w:rFonts w:ascii="Arial" w:hAnsi="Arial" w:cs="Arial"/>
          <w:sz w:val="24"/>
          <w:szCs w:val="24"/>
        </w:rPr>
        <w:t xml:space="preserve">SPPG is currently working with BSO to monitor and evaluate </w:t>
      </w:r>
      <w:r w:rsidR="009A6408" w:rsidRPr="00993381">
        <w:rPr>
          <w:rFonts w:ascii="Arial" w:hAnsi="Arial" w:cs="Arial"/>
          <w:sz w:val="24"/>
          <w:szCs w:val="24"/>
        </w:rPr>
        <w:t>the scheme</w:t>
      </w:r>
      <w:r w:rsidR="00AB5A57" w:rsidRPr="00993381">
        <w:rPr>
          <w:rFonts w:ascii="Arial" w:hAnsi="Arial" w:cs="Arial"/>
          <w:sz w:val="24"/>
          <w:szCs w:val="24"/>
        </w:rPr>
        <w:t xml:space="preserve"> via the analysis of patient and treatment data.</w:t>
      </w:r>
      <w:r w:rsidR="009A6408" w:rsidRPr="00993381">
        <w:rPr>
          <w:rFonts w:ascii="Arial" w:hAnsi="Arial" w:cs="Arial"/>
          <w:sz w:val="24"/>
          <w:szCs w:val="24"/>
        </w:rPr>
        <w:t xml:space="preserve"> </w:t>
      </w:r>
    </w:p>
    <w:p w:rsidR="00A73F5F" w:rsidRPr="00993381" w:rsidRDefault="009A6408" w:rsidP="004108B5">
      <w:pPr>
        <w:spacing w:line="276" w:lineRule="auto"/>
        <w:rPr>
          <w:rFonts w:ascii="Arial" w:hAnsi="Arial" w:cs="Arial"/>
          <w:sz w:val="24"/>
          <w:szCs w:val="24"/>
        </w:rPr>
      </w:pPr>
      <w:r w:rsidRPr="00993381">
        <w:rPr>
          <w:rFonts w:ascii="Arial" w:hAnsi="Arial" w:cs="Arial"/>
          <w:sz w:val="24"/>
          <w:szCs w:val="24"/>
        </w:rPr>
        <w:t>Further information on patient demographics including registration status, cost</w:t>
      </w:r>
      <w:r w:rsidR="00AB5A57" w:rsidRPr="00993381">
        <w:rPr>
          <w:rFonts w:ascii="Arial" w:hAnsi="Arial" w:cs="Arial"/>
          <w:sz w:val="24"/>
          <w:szCs w:val="24"/>
        </w:rPr>
        <w:t>s, and other data will become available as the scheme progresses.</w:t>
      </w:r>
    </w:p>
    <w:sectPr w:rsidR="00A73F5F" w:rsidRPr="00993381" w:rsidSect="00C00EBF">
      <w:pgSz w:w="11906" w:h="16838"/>
      <w:pgMar w:top="1304" w:right="130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4CF" w:rsidRDefault="006944CF" w:rsidP="006944CF">
      <w:pPr>
        <w:spacing w:after="0" w:line="240" w:lineRule="auto"/>
      </w:pPr>
      <w:r>
        <w:separator/>
      </w:r>
    </w:p>
  </w:endnote>
  <w:endnote w:type="continuationSeparator" w:id="0">
    <w:p w:rsidR="006944CF" w:rsidRDefault="006944CF" w:rsidP="00694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4CF" w:rsidRDefault="006944CF" w:rsidP="006944CF">
      <w:pPr>
        <w:spacing w:after="0" w:line="240" w:lineRule="auto"/>
      </w:pPr>
      <w:r>
        <w:separator/>
      </w:r>
    </w:p>
  </w:footnote>
  <w:footnote w:type="continuationSeparator" w:id="0">
    <w:p w:rsidR="006944CF" w:rsidRDefault="006944CF" w:rsidP="006944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75B"/>
    <w:multiLevelType w:val="multilevel"/>
    <w:tmpl w:val="B5C244E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3A118F3"/>
    <w:multiLevelType w:val="hybridMultilevel"/>
    <w:tmpl w:val="318E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61EB7"/>
    <w:multiLevelType w:val="hybridMultilevel"/>
    <w:tmpl w:val="14A8E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97E63"/>
    <w:multiLevelType w:val="hybridMultilevel"/>
    <w:tmpl w:val="D02A5050"/>
    <w:lvl w:ilvl="0" w:tplc="14A8D82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F5F"/>
    <w:rsid w:val="000007CC"/>
    <w:rsid w:val="00003E56"/>
    <w:rsid w:val="00010FD0"/>
    <w:rsid w:val="00012416"/>
    <w:rsid w:val="0001493D"/>
    <w:rsid w:val="00014F67"/>
    <w:rsid w:val="00016256"/>
    <w:rsid w:val="0002467D"/>
    <w:rsid w:val="00030868"/>
    <w:rsid w:val="00031B8D"/>
    <w:rsid w:val="00046241"/>
    <w:rsid w:val="00053E8E"/>
    <w:rsid w:val="0005627F"/>
    <w:rsid w:val="000600E7"/>
    <w:rsid w:val="000620A7"/>
    <w:rsid w:val="000700D6"/>
    <w:rsid w:val="0007098A"/>
    <w:rsid w:val="00091596"/>
    <w:rsid w:val="00091F4C"/>
    <w:rsid w:val="000A687C"/>
    <w:rsid w:val="000B03FA"/>
    <w:rsid w:val="000B3C3C"/>
    <w:rsid w:val="000C4FB2"/>
    <w:rsid w:val="000C5F71"/>
    <w:rsid w:val="000C71F2"/>
    <w:rsid w:val="000D5F55"/>
    <w:rsid w:val="000E135E"/>
    <w:rsid w:val="000E49AC"/>
    <w:rsid w:val="000F42CE"/>
    <w:rsid w:val="000F57A1"/>
    <w:rsid w:val="001155B4"/>
    <w:rsid w:val="0013329F"/>
    <w:rsid w:val="00134F99"/>
    <w:rsid w:val="001530CE"/>
    <w:rsid w:val="00167EC6"/>
    <w:rsid w:val="001843EF"/>
    <w:rsid w:val="001879EA"/>
    <w:rsid w:val="001B698F"/>
    <w:rsid w:val="001C3A56"/>
    <w:rsid w:val="001D0FDC"/>
    <w:rsid w:val="001D2312"/>
    <w:rsid w:val="001F7280"/>
    <w:rsid w:val="001F75B4"/>
    <w:rsid w:val="001F760B"/>
    <w:rsid w:val="00202A4A"/>
    <w:rsid w:val="00205091"/>
    <w:rsid w:val="00207783"/>
    <w:rsid w:val="0021413D"/>
    <w:rsid w:val="002206D6"/>
    <w:rsid w:val="00221807"/>
    <w:rsid w:val="00222C4F"/>
    <w:rsid w:val="0022529A"/>
    <w:rsid w:val="00236E74"/>
    <w:rsid w:val="00257AF5"/>
    <w:rsid w:val="00270B30"/>
    <w:rsid w:val="00272B25"/>
    <w:rsid w:val="002752D2"/>
    <w:rsid w:val="002955C9"/>
    <w:rsid w:val="0029646C"/>
    <w:rsid w:val="002975F4"/>
    <w:rsid w:val="002B097C"/>
    <w:rsid w:val="002C32DA"/>
    <w:rsid w:val="002C638A"/>
    <w:rsid w:val="002E578A"/>
    <w:rsid w:val="002F2049"/>
    <w:rsid w:val="002F40A4"/>
    <w:rsid w:val="002F4D89"/>
    <w:rsid w:val="00306208"/>
    <w:rsid w:val="003303D3"/>
    <w:rsid w:val="00330B6F"/>
    <w:rsid w:val="00330E25"/>
    <w:rsid w:val="00333ACB"/>
    <w:rsid w:val="00341C63"/>
    <w:rsid w:val="00355059"/>
    <w:rsid w:val="00384DD3"/>
    <w:rsid w:val="00390CE2"/>
    <w:rsid w:val="003C62B7"/>
    <w:rsid w:val="003F7209"/>
    <w:rsid w:val="004108B5"/>
    <w:rsid w:val="00411986"/>
    <w:rsid w:val="0043044F"/>
    <w:rsid w:val="004357C6"/>
    <w:rsid w:val="0044738A"/>
    <w:rsid w:val="0045551A"/>
    <w:rsid w:val="00456D93"/>
    <w:rsid w:val="0046027A"/>
    <w:rsid w:val="00460595"/>
    <w:rsid w:val="0047753F"/>
    <w:rsid w:val="00480658"/>
    <w:rsid w:val="004A5196"/>
    <w:rsid w:val="004A5C7D"/>
    <w:rsid w:val="004B289B"/>
    <w:rsid w:val="004B30A5"/>
    <w:rsid w:val="004C1F82"/>
    <w:rsid w:val="004C397F"/>
    <w:rsid w:val="004C51B0"/>
    <w:rsid w:val="004C5BE8"/>
    <w:rsid w:val="004C7ED2"/>
    <w:rsid w:val="004E3CA9"/>
    <w:rsid w:val="00513A4B"/>
    <w:rsid w:val="005145E2"/>
    <w:rsid w:val="00516C00"/>
    <w:rsid w:val="005532F1"/>
    <w:rsid w:val="00554691"/>
    <w:rsid w:val="00555C21"/>
    <w:rsid w:val="00562965"/>
    <w:rsid w:val="005B6946"/>
    <w:rsid w:val="005C3580"/>
    <w:rsid w:val="005E1E6A"/>
    <w:rsid w:val="005F7597"/>
    <w:rsid w:val="0060608C"/>
    <w:rsid w:val="0063173F"/>
    <w:rsid w:val="006518C1"/>
    <w:rsid w:val="00652A00"/>
    <w:rsid w:val="006532BE"/>
    <w:rsid w:val="006679A4"/>
    <w:rsid w:val="00667D2C"/>
    <w:rsid w:val="00682195"/>
    <w:rsid w:val="006900B7"/>
    <w:rsid w:val="00692FBB"/>
    <w:rsid w:val="00693C4F"/>
    <w:rsid w:val="006944CF"/>
    <w:rsid w:val="006A3BB7"/>
    <w:rsid w:val="006B78DA"/>
    <w:rsid w:val="006C3A81"/>
    <w:rsid w:val="006C706E"/>
    <w:rsid w:val="006D1FFD"/>
    <w:rsid w:val="006D3F8F"/>
    <w:rsid w:val="006E04B3"/>
    <w:rsid w:val="006E04CA"/>
    <w:rsid w:val="006F3B85"/>
    <w:rsid w:val="00707AFC"/>
    <w:rsid w:val="0071478E"/>
    <w:rsid w:val="007157C7"/>
    <w:rsid w:val="00715C81"/>
    <w:rsid w:val="0071636C"/>
    <w:rsid w:val="00751E75"/>
    <w:rsid w:val="00765772"/>
    <w:rsid w:val="00773497"/>
    <w:rsid w:val="00774504"/>
    <w:rsid w:val="007A3D6D"/>
    <w:rsid w:val="007A764A"/>
    <w:rsid w:val="007B33C4"/>
    <w:rsid w:val="007B7CCB"/>
    <w:rsid w:val="007C3937"/>
    <w:rsid w:val="007D0AFC"/>
    <w:rsid w:val="007D2472"/>
    <w:rsid w:val="007E3D25"/>
    <w:rsid w:val="007F0EF6"/>
    <w:rsid w:val="007F103C"/>
    <w:rsid w:val="0080609F"/>
    <w:rsid w:val="00812107"/>
    <w:rsid w:val="00812161"/>
    <w:rsid w:val="00814468"/>
    <w:rsid w:val="00825AD4"/>
    <w:rsid w:val="008310D6"/>
    <w:rsid w:val="00831A9D"/>
    <w:rsid w:val="00846971"/>
    <w:rsid w:val="00866732"/>
    <w:rsid w:val="00877994"/>
    <w:rsid w:val="00882067"/>
    <w:rsid w:val="0088763C"/>
    <w:rsid w:val="00896E78"/>
    <w:rsid w:val="008A719F"/>
    <w:rsid w:val="008B1B14"/>
    <w:rsid w:val="008B6B86"/>
    <w:rsid w:val="008C1252"/>
    <w:rsid w:val="008E0B33"/>
    <w:rsid w:val="00907942"/>
    <w:rsid w:val="009159EC"/>
    <w:rsid w:val="0092196D"/>
    <w:rsid w:val="0093201B"/>
    <w:rsid w:val="00942C2A"/>
    <w:rsid w:val="00955CDE"/>
    <w:rsid w:val="00971C48"/>
    <w:rsid w:val="009722B6"/>
    <w:rsid w:val="00973994"/>
    <w:rsid w:val="00986AAA"/>
    <w:rsid w:val="00990BB7"/>
    <w:rsid w:val="00993381"/>
    <w:rsid w:val="009958A3"/>
    <w:rsid w:val="009A6408"/>
    <w:rsid w:val="009B3A6A"/>
    <w:rsid w:val="009D35CF"/>
    <w:rsid w:val="009E2896"/>
    <w:rsid w:val="009F5EBB"/>
    <w:rsid w:val="00A02A2E"/>
    <w:rsid w:val="00A03E0C"/>
    <w:rsid w:val="00A35687"/>
    <w:rsid w:val="00A4689B"/>
    <w:rsid w:val="00A53333"/>
    <w:rsid w:val="00A73F5F"/>
    <w:rsid w:val="00A918FA"/>
    <w:rsid w:val="00AA0009"/>
    <w:rsid w:val="00AB3EC3"/>
    <w:rsid w:val="00AB45B7"/>
    <w:rsid w:val="00AB5A57"/>
    <w:rsid w:val="00AD0B31"/>
    <w:rsid w:val="00AF2B06"/>
    <w:rsid w:val="00AF7D52"/>
    <w:rsid w:val="00B02581"/>
    <w:rsid w:val="00B0319A"/>
    <w:rsid w:val="00B06952"/>
    <w:rsid w:val="00B158AE"/>
    <w:rsid w:val="00B20871"/>
    <w:rsid w:val="00B249A6"/>
    <w:rsid w:val="00B35A4F"/>
    <w:rsid w:val="00B40376"/>
    <w:rsid w:val="00B40EAA"/>
    <w:rsid w:val="00B45A01"/>
    <w:rsid w:val="00B5578B"/>
    <w:rsid w:val="00B56237"/>
    <w:rsid w:val="00B6267F"/>
    <w:rsid w:val="00B729AE"/>
    <w:rsid w:val="00B90BF8"/>
    <w:rsid w:val="00B920F7"/>
    <w:rsid w:val="00BC03D1"/>
    <w:rsid w:val="00BC11E6"/>
    <w:rsid w:val="00BC122C"/>
    <w:rsid w:val="00BC5119"/>
    <w:rsid w:val="00BD6F48"/>
    <w:rsid w:val="00BE2E1C"/>
    <w:rsid w:val="00BF271D"/>
    <w:rsid w:val="00C00EBF"/>
    <w:rsid w:val="00C04B42"/>
    <w:rsid w:val="00C2041A"/>
    <w:rsid w:val="00C30383"/>
    <w:rsid w:val="00C30E6B"/>
    <w:rsid w:val="00C37071"/>
    <w:rsid w:val="00C4660A"/>
    <w:rsid w:val="00C46923"/>
    <w:rsid w:val="00C604DB"/>
    <w:rsid w:val="00C60C2B"/>
    <w:rsid w:val="00C676E1"/>
    <w:rsid w:val="00C67C74"/>
    <w:rsid w:val="00C773DE"/>
    <w:rsid w:val="00C82154"/>
    <w:rsid w:val="00C86EF6"/>
    <w:rsid w:val="00CE3DF9"/>
    <w:rsid w:val="00CE640C"/>
    <w:rsid w:val="00D06A87"/>
    <w:rsid w:val="00D1222A"/>
    <w:rsid w:val="00D13018"/>
    <w:rsid w:val="00D133A4"/>
    <w:rsid w:val="00D14087"/>
    <w:rsid w:val="00D27510"/>
    <w:rsid w:val="00D27F31"/>
    <w:rsid w:val="00D31002"/>
    <w:rsid w:val="00D41AB2"/>
    <w:rsid w:val="00D512C7"/>
    <w:rsid w:val="00D5422B"/>
    <w:rsid w:val="00D56110"/>
    <w:rsid w:val="00D61B9E"/>
    <w:rsid w:val="00D67DF8"/>
    <w:rsid w:val="00D8791F"/>
    <w:rsid w:val="00D90214"/>
    <w:rsid w:val="00D91AAC"/>
    <w:rsid w:val="00D962DC"/>
    <w:rsid w:val="00D9735E"/>
    <w:rsid w:val="00DA1DA2"/>
    <w:rsid w:val="00DA3A1A"/>
    <w:rsid w:val="00DB38CB"/>
    <w:rsid w:val="00DE7966"/>
    <w:rsid w:val="00DF542A"/>
    <w:rsid w:val="00DF615E"/>
    <w:rsid w:val="00DF66EA"/>
    <w:rsid w:val="00E00EA1"/>
    <w:rsid w:val="00E04B42"/>
    <w:rsid w:val="00E1151F"/>
    <w:rsid w:val="00E11601"/>
    <w:rsid w:val="00E35195"/>
    <w:rsid w:val="00E5773F"/>
    <w:rsid w:val="00E81DAA"/>
    <w:rsid w:val="00E85764"/>
    <w:rsid w:val="00E919A9"/>
    <w:rsid w:val="00EA1E3E"/>
    <w:rsid w:val="00EA24F8"/>
    <w:rsid w:val="00EA4E26"/>
    <w:rsid w:val="00EA70F5"/>
    <w:rsid w:val="00EB0A61"/>
    <w:rsid w:val="00EC2783"/>
    <w:rsid w:val="00EC492D"/>
    <w:rsid w:val="00ED217F"/>
    <w:rsid w:val="00ED2B96"/>
    <w:rsid w:val="00ED43A0"/>
    <w:rsid w:val="00ED6948"/>
    <w:rsid w:val="00EE57F5"/>
    <w:rsid w:val="00EE6B32"/>
    <w:rsid w:val="00EF428D"/>
    <w:rsid w:val="00F03DDA"/>
    <w:rsid w:val="00F044F8"/>
    <w:rsid w:val="00F04F78"/>
    <w:rsid w:val="00F10370"/>
    <w:rsid w:val="00F10DB9"/>
    <w:rsid w:val="00F12976"/>
    <w:rsid w:val="00F21E62"/>
    <w:rsid w:val="00F261A7"/>
    <w:rsid w:val="00F438A0"/>
    <w:rsid w:val="00F60321"/>
    <w:rsid w:val="00F60B92"/>
    <w:rsid w:val="00F63FF3"/>
    <w:rsid w:val="00F72768"/>
    <w:rsid w:val="00F7558B"/>
    <w:rsid w:val="00F76397"/>
    <w:rsid w:val="00F91659"/>
    <w:rsid w:val="00F95382"/>
    <w:rsid w:val="00F9734B"/>
    <w:rsid w:val="00FA4FF6"/>
    <w:rsid w:val="00FC57DA"/>
    <w:rsid w:val="00FD33AF"/>
    <w:rsid w:val="00FD6E8D"/>
    <w:rsid w:val="00FF23BE"/>
    <w:rsid w:val="00FF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EE62FA-20D3-460A-9D0A-0E746CC4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5C21"/>
  </w:style>
  <w:style w:type="paragraph" w:styleId="Heading1">
    <w:name w:val="heading 1"/>
    <w:basedOn w:val="Normal"/>
    <w:next w:val="Normal"/>
    <w:link w:val="Heading1Char"/>
    <w:uiPriority w:val="9"/>
    <w:qFormat/>
    <w:rsid w:val="00555C21"/>
    <w:pPr>
      <w:keepNext/>
      <w:keepLines/>
      <w:pBdr>
        <w:bottom w:val="single" w:sz="4" w:space="1" w:color="4F81B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5C2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C2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5C2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5C2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5C2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5C2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5C2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5C2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27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7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2783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55C21"/>
    <w:rPr>
      <w:rFonts w:asciiTheme="majorHAnsi" w:eastAsiaTheme="majorEastAsia" w:hAnsiTheme="majorHAnsi" w:cstheme="majorBidi"/>
      <w:color w:val="365F9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5C21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5C2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5C21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5C2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5C2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5C2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5C2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5C2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55C2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55C2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555C21"/>
    <w:rPr>
      <w:rFonts w:asciiTheme="majorHAnsi" w:eastAsiaTheme="majorEastAsia" w:hAnsiTheme="majorHAnsi" w:cstheme="majorBidi"/>
      <w:color w:val="365F91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5C2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55C2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555C21"/>
    <w:rPr>
      <w:b/>
      <w:bCs/>
    </w:rPr>
  </w:style>
  <w:style w:type="character" w:styleId="Emphasis">
    <w:name w:val="Emphasis"/>
    <w:basedOn w:val="DefaultParagraphFont"/>
    <w:uiPriority w:val="20"/>
    <w:qFormat/>
    <w:rsid w:val="00555C21"/>
    <w:rPr>
      <w:i/>
      <w:iCs/>
    </w:rPr>
  </w:style>
  <w:style w:type="paragraph" w:styleId="NoSpacing">
    <w:name w:val="No Spacing"/>
    <w:uiPriority w:val="1"/>
    <w:qFormat/>
    <w:rsid w:val="00555C2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55C2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55C21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5C2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5C21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555C2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55C2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55C21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555C21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555C21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55C21"/>
    <w:pPr>
      <w:outlineLvl w:val="9"/>
    </w:pPr>
  </w:style>
  <w:style w:type="paragraph" w:styleId="ListParagraph">
    <w:name w:val="List Paragraph"/>
    <w:basedOn w:val="Normal"/>
    <w:uiPriority w:val="34"/>
    <w:qFormat/>
    <w:rsid w:val="000915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44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4CF"/>
  </w:style>
  <w:style w:type="paragraph" w:styleId="Footer">
    <w:name w:val="footer"/>
    <w:basedOn w:val="Normal"/>
    <w:link w:val="FooterChar"/>
    <w:uiPriority w:val="99"/>
    <w:unhideWhenUsed/>
    <w:rsid w:val="006944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47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hscni.net/dental-access-scheme/" TargetMode="External"/><Relationship Id="rId13" Type="http://schemas.openxmlformats.org/officeDocument/2006/relationships/chart" Target="charts/chart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hscni.net\SPPG\Primary%20Care\Business%20Support\Dental\Unregistered%20Patients%20(PUPAS)\Dental%20Access%20Scheme%20(DAS)\Dental%20Access%20Scheme%20(DAS)%20Weekly%20Activity%20Monitoring%20&amp;%20Payments%2002.10.25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hscni.net\SPPG\Primary%20Care\Business%20Support\Dental\Unregistered%20Patients%20(PUPAS)\Dental%20Access%20Scheme%20(DAS)\Dental%20Access%20Scheme%20(DAS)%20Weekly%20Activity%20Monitoring%20&amp;%20Payments%2002.10.25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\\hscni.net\SPPG\Primary%20Care\Business%20Support\Dental\Unregistered%20Patients%20(PUPAS)\Dental%20Access%20Scheme%20(DAS)\Dental%20Access%20Scheme%20(DAS)%20Weekly%20Activity%20Monitoring%20&amp;%20Payments%2002.10.25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\\hscni.net\SPPG\Primary%20Care\Business%20Support\Dental\Unregistered%20Patients%20(PUPAS)\Dental%20Access%20Scheme%20(DAS)\Dental%20Access%20Scheme%20(DAS)%20Weekly%20Activity%20Monitoring%20&amp;%20Payments%2002.10.25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\\hscni.net\SPPG\Primary%20Care\Business%20Support\Dental\Unregistered%20Patients%20(PUPAS)\Dental%20Access%20Scheme%20(DAS)\Dental%20Access%20Scheme%20(DAS)%20Weekly%20Activity%20Monitoring%20&amp;%20Payments%2002.10.25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\\hscni.net\SPPG\Primary%20Care\Business%20Support\Dental\Unregistered%20Patients%20(PUPAS)\Dental%20Access%20Scheme%20(DAS)\Dental%20Access%20Scheme%20(DAS)%20Weekly%20Activity%20Monitoring%20&amp;%20Payments%2002.10.25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en-GB" b="1"/>
              <a:t>DAS</a:t>
            </a:r>
            <a:r>
              <a:rPr lang="en-GB" b="1" baseline="0"/>
              <a:t> Total Activity (by LCG Area)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effectLst/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3797982578009685"/>
          <c:y val="0.16706483331374622"/>
          <c:w val="0.81892704517992232"/>
          <c:h val="0.71274305637168489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'Activity Monitoring Report'!$A$19:$A$23</c:f>
              <c:strCache>
                <c:ptCount val="5"/>
                <c:pt idx="0">
                  <c:v>Belfast</c:v>
                </c:pt>
                <c:pt idx="1">
                  <c:v>North</c:v>
                </c:pt>
                <c:pt idx="2">
                  <c:v>South</c:v>
                </c:pt>
                <c:pt idx="3">
                  <c:v>South East</c:v>
                </c:pt>
                <c:pt idx="4">
                  <c:v>West</c:v>
                </c:pt>
              </c:strCache>
            </c:strRef>
          </c:cat>
          <c:val>
            <c:numRef>
              <c:f>'Activity Monitoring Report'!$F$19:$F$23</c:f>
              <c:numCache>
                <c:formatCode>General</c:formatCode>
                <c:ptCount val="5"/>
                <c:pt idx="0">
                  <c:v>2315</c:v>
                </c:pt>
                <c:pt idx="1">
                  <c:v>10980</c:v>
                </c:pt>
                <c:pt idx="2">
                  <c:v>11805</c:v>
                </c:pt>
                <c:pt idx="3">
                  <c:v>4539</c:v>
                </c:pt>
                <c:pt idx="4">
                  <c:v>4682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726-40EC-AFF5-29F975FE67F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562588504"/>
        <c:axId val="562562592"/>
      </c:barChart>
      <c:catAx>
        <c:axId val="5625885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2562592"/>
        <c:crosses val="autoZero"/>
        <c:auto val="1"/>
        <c:lblAlgn val="ctr"/>
        <c:lblOffset val="100"/>
        <c:noMultiLvlLbl val="0"/>
      </c:catAx>
      <c:valAx>
        <c:axId val="562562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Number</a:t>
                </a:r>
                <a:r>
                  <a:rPr lang="en-US" baseline="0"/>
                  <a:t> of </a:t>
                </a:r>
                <a:r>
                  <a:rPr lang="en-US"/>
                  <a:t>Patients Treated since 1 Aug 2024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dk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25885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700" baseline="0"/>
              <a:t>DAS Total No of Patients Treated (by LCG Area)</a:t>
            </a:r>
          </a:p>
        </c:rich>
      </c:tx>
      <c:layout>
        <c:manualLayout>
          <c:xMode val="edge"/>
          <c:yMode val="edge"/>
          <c:x val="0.12647893284351464"/>
          <c:y val="2.246632632459404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'Activity Monitoring Report'!$B$40</c:f>
              <c:strCache>
                <c:ptCount val="1"/>
                <c:pt idx="0">
                  <c:v>Total Patients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37CE-44D2-9430-9E69AD66A6D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37CE-44D2-9430-9E69AD66A6D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37CE-44D2-9430-9E69AD66A6D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37CE-44D2-9430-9E69AD66A6D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37CE-44D2-9430-9E69AD66A6DC}"/>
              </c:ext>
            </c:extLst>
          </c:dPt>
          <c:dLbls>
            <c:dLbl>
              <c:idx val="0"/>
              <c:layout>
                <c:manualLayout>
                  <c:x val="-5.2556646542681315E-2"/>
                  <c:y val="0.13789132127714807"/>
                </c:manualLayout>
              </c:layout>
              <c:spPr>
                <a:pattFill prst="pct75">
                  <a:fgClr>
                    <a:schemeClr val="dk1">
                      <a:lumMod val="75000"/>
                      <a:lumOff val="25000"/>
                    </a:schemeClr>
                  </a:fgClr>
                  <a:bgClr>
                    <a:schemeClr val="dk1">
                      <a:lumMod val="65000"/>
                      <a:lumOff val="35000"/>
                    </a:schemeClr>
                  </a:bgClr>
                </a:pattFill>
                <a:ln>
                  <a:gradFill>
                    <a:gsLst>
                      <a:gs pos="0">
                        <a:schemeClr val="accent1">
                          <a:lumMod val="5000"/>
                          <a:lumOff val="95000"/>
                        </a:schemeClr>
                      </a:gs>
                      <a:gs pos="74000">
                        <a:schemeClr val="accent1">
                          <a:lumMod val="45000"/>
                          <a:lumOff val="55000"/>
                        </a:schemeClr>
                      </a:gs>
                      <a:gs pos="83000">
                        <a:schemeClr val="accent1">
                          <a:lumMod val="45000"/>
                          <a:lumOff val="55000"/>
                        </a:schemeClr>
                      </a:gs>
                      <a:gs pos="100000">
                        <a:schemeClr val="accent1">
                          <a:lumMod val="30000"/>
                          <a:lumOff val="70000"/>
                        </a:schemeClr>
                      </a:gs>
                    </a:gsLst>
                    <a:lin ang="5400000" scaled="1"/>
                  </a:gradFill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8.899555651598437E-2"/>
                      <c:h val="0.1070845951948314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37CE-44D2-9430-9E69AD66A6DC}"/>
                </c:ext>
              </c:extLst>
            </c:dLbl>
            <c:dLbl>
              <c:idx val="3"/>
              <c:layout>
                <c:manualLayout>
                  <c:x val="0.1490569928758905"/>
                  <c:y val="5.178842475199066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7CE-44D2-9430-9E69AD66A6DC}"/>
                </c:ext>
              </c:extLst>
            </c:dLbl>
            <c:dLbl>
              <c:idx val="4"/>
              <c:layout>
                <c:manualLayout>
                  <c:x val="6.609673790776148E-2"/>
                  <c:y val="0.14789768228124026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7CE-44D2-9430-9E69AD66A6DC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gradFill>
                  <a:gsLst>
                    <a:gs pos="0">
                      <a:schemeClr val="accent1">
                        <a:lumMod val="5000"/>
                        <a:lumOff val="95000"/>
                      </a:schemeClr>
                    </a:gs>
                    <a:gs pos="74000">
                      <a:schemeClr val="accent1">
                        <a:lumMod val="45000"/>
                        <a:lumOff val="55000"/>
                      </a:schemeClr>
                    </a:gs>
                    <a:gs pos="83000">
                      <a:schemeClr val="accent1">
                        <a:lumMod val="45000"/>
                        <a:lumOff val="55000"/>
                      </a:schemeClr>
                    </a:gs>
                    <a:gs pos="100000">
                      <a:schemeClr val="accent1">
                        <a:lumMod val="30000"/>
                        <a:lumOff val="70000"/>
                      </a:schemeClr>
                    </a:gs>
                  </a:gsLst>
                  <a:lin ang="5400000" scaled="1"/>
                </a:gradFill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'Activity Monitoring Report'!$A$41:$A$45</c:f>
              <c:strCache>
                <c:ptCount val="5"/>
                <c:pt idx="0">
                  <c:v>Belfast</c:v>
                </c:pt>
                <c:pt idx="1">
                  <c:v>North</c:v>
                </c:pt>
                <c:pt idx="2">
                  <c:v>South</c:v>
                </c:pt>
                <c:pt idx="3">
                  <c:v>South East</c:v>
                </c:pt>
                <c:pt idx="4">
                  <c:v>West</c:v>
                </c:pt>
              </c:strCache>
            </c:strRef>
          </c:cat>
          <c:val>
            <c:numRef>
              <c:f>'Activity Monitoring Report'!$B$41:$B$45</c:f>
              <c:numCache>
                <c:formatCode>General</c:formatCode>
                <c:ptCount val="5"/>
                <c:pt idx="0">
                  <c:v>2315</c:v>
                </c:pt>
                <c:pt idx="1">
                  <c:v>10980</c:v>
                </c:pt>
                <c:pt idx="2">
                  <c:v>11805</c:v>
                </c:pt>
                <c:pt idx="3">
                  <c:v>4539</c:v>
                </c:pt>
                <c:pt idx="4">
                  <c:v>4682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7CE-44D2-9430-9E69AD66A6DC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'Activity Monitoring Report'!$C$40</c15:sqref>
                        </c15:formulaRef>
                      </c:ext>
                    </c:extLst>
                    <c:strCache>
                      <c:ptCount val="1"/>
                      <c:pt idx="0">
                        <c:v>%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>
                      <a:outerShdw blurRad="254000" sx="102000" sy="102000" algn="ctr" rotWithShape="0">
                        <a:prstClr val="black">
                          <a:alpha val="20000"/>
                        </a:prstClr>
                      </a:outerShdw>
                    </a:effectLst>
                  </c:spPr>
                  <c:extLst>
                    <c:ext xmlns:c16="http://schemas.microsoft.com/office/drawing/2014/chart" uri="{C3380CC4-5D6E-409C-BE32-E72D297353CC}">
                      <c16:uniqueId val="{0000000C-37CE-44D2-9430-9E69AD66A6DC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>
                      <a:noFill/>
                    </a:ln>
                    <a:effectLst>
                      <a:outerShdw blurRad="254000" sx="102000" sy="102000" algn="ctr" rotWithShape="0">
                        <a:prstClr val="black">
                          <a:alpha val="20000"/>
                        </a:prstClr>
                      </a:outerShdw>
                    </a:effectLst>
                  </c:spPr>
                  <c:extLst>
                    <c:ext xmlns:c16="http://schemas.microsoft.com/office/drawing/2014/chart" uri="{C3380CC4-5D6E-409C-BE32-E72D297353CC}">
                      <c16:uniqueId val="{0000000E-37CE-44D2-9430-9E69AD66A6DC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3"/>
                    </a:solidFill>
                    <a:ln>
                      <a:noFill/>
                    </a:ln>
                    <a:effectLst>
                      <a:outerShdw blurRad="254000" sx="102000" sy="102000" algn="ctr" rotWithShape="0">
                        <a:prstClr val="black">
                          <a:alpha val="20000"/>
                        </a:prstClr>
                      </a:outerShdw>
                    </a:effectLst>
                  </c:spPr>
                  <c:extLst>
                    <c:ext xmlns:c16="http://schemas.microsoft.com/office/drawing/2014/chart" uri="{C3380CC4-5D6E-409C-BE32-E72D297353CC}">
                      <c16:uniqueId val="{00000010-37CE-44D2-9430-9E69AD66A6DC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4"/>
                    </a:solidFill>
                    <a:ln>
                      <a:noFill/>
                    </a:ln>
                    <a:effectLst>
                      <a:outerShdw blurRad="254000" sx="102000" sy="102000" algn="ctr" rotWithShape="0">
                        <a:prstClr val="black">
                          <a:alpha val="20000"/>
                        </a:prstClr>
                      </a:outerShdw>
                    </a:effectLst>
                  </c:spPr>
                  <c:extLst>
                    <c:ext xmlns:c16="http://schemas.microsoft.com/office/drawing/2014/chart" uri="{C3380CC4-5D6E-409C-BE32-E72D297353CC}">
                      <c16:uniqueId val="{00000012-37CE-44D2-9430-9E69AD66A6DC}"/>
                    </c:ext>
                  </c:extLst>
                </c:dPt>
                <c:dPt>
                  <c:idx val="4"/>
                  <c:bubble3D val="0"/>
                  <c:spPr>
                    <a:solidFill>
                      <a:schemeClr val="accent5"/>
                    </a:solidFill>
                    <a:ln>
                      <a:noFill/>
                    </a:ln>
                    <a:effectLst>
                      <a:outerShdw blurRad="254000" sx="102000" sy="102000" algn="ctr" rotWithShape="0">
                        <a:prstClr val="black">
                          <a:alpha val="20000"/>
                        </a:prstClr>
                      </a:outerShdw>
                    </a:effectLst>
                  </c:spPr>
                  <c:extLst>
                    <c:ext xmlns:c16="http://schemas.microsoft.com/office/drawing/2014/chart" uri="{C3380CC4-5D6E-409C-BE32-E72D297353CC}">
                      <c16:uniqueId val="{00000014-37CE-44D2-9430-9E69AD66A6DC}"/>
                    </c:ext>
                  </c:extLst>
                </c:dPt>
                <c:dLbls>
                  <c:spPr>
                    <a:pattFill prst="pct75">
                      <a:fgClr>
                        <a:schemeClr val="dk1">
                          <a:lumMod val="75000"/>
                          <a:lumOff val="25000"/>
                        </a:schemeClr>
                      </a:fgClr>
                      <a:bgClr>
                        <a:schemeClr val="dk1">
                          <a:lumMod val="65000"/>
                          <a:lumOff val="35000"/>
                        </a:schemeClr>
                      </a:bgClr>
                    </a:pattFill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0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0"/>
                  <c:showCatName val="1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>
                        <a:solidFill>
                          <a:schemeClr val="dk1">
                            <a:lumMod val="50000"/>
                            <a:lumOff val="50000"/>
                          </a:schemeClr>
                        </a:solidFill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'Activity Monitoring Report'!$A$41:$A$45</c15:sqref>
                        </c15:formulaRef>
                      </c:ext>
                    </c:extLst>
                    <c:strCache>
                      <c:ptCount val="5"/>
                      <c:pt idx="0">
                        <c:v>Belfast</c:v>
                      </c:pt>
                      <c:pt idx="1">
                        <c:v>North</c:v>
                      </c:pt>
                      <c:pt idx="2">
                        <c:v>South</c:v>
                      </c:pt>
                      <c:pt idx="3">
                        <c:v>South East</c:v>
                      </c:pt>
                      <c:pt idx="4">
                        <c:v>West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'Activity Monitoring Report'!$C$41:$C$45</c15:sqref>
                        </c15:formulaRef>
                      </c:ext>
                    </c:extLst>
                    <c:numCache>
                      <c:formatCode>0%</c:formatCode>
                      <c:ptCount val="5"/>
                      <c:pt idx="0">
                        <c:v>6.7451414585822086E-2</c:v>
                      </c:pt>
                      <c:pt idx="1">
                        <c:v>0.31992074822994671</c:v>
                      </c:pt>
                      <c:pt idx="2">
                        <c:v>0.34395850936744266</c:v>
                      </c:pt>
                      <c:pt idx="3">
                        <c:v>0.13225139127647795</c:v>
                      </c:pt>
                      <c:pt idx="4">
                        <c:v>0.13641793654031059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5-37CE-44D2-9430-9E69AD66A6DC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Urgent/Pressing Need Casemix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2"/>
          <c:order val="0"/>
          <c:tx>
            <c:v>Pressing</c:v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val>
            <c:numRef>
              <c:f>'Activity Monitoring Report'!$A$105:$BN$105</c:f>
              <c:numCache>
                <c:formatCode>0.0</c:formatCode>
                <c:ptCount val="66"/>
                <c:pt idx="0">
                  <c:v>57.142857142857139</c:v>
                </c:pt>
                <c:pt idx="1">
                  <c:v>62.64775413711584</c:v>
                </c:pt>
                <c:pt idx="2">
                  <c:v>68.235294117647058</c:v>
                </c:pt>
                <c:pt idx="3">
                  <c:v>62.921348314606739</c:v>
                </c:pt>
                <c:pt idx="4">
                  <c:v>63.005780346820806</c:v>
                </c:pt>
                <c:pt idx="5">
                  <c:v>66.970387243735757</c:v>
                </c:pt>
                <c:pt idx="6">
                  <c:v>64.236902050113898</c:v>
                </c:pt>
                <c:pt idx="7">
                  <c:v>64.454976303317537</c:v>
                </c:pt>
                <c:pt idx="8">
                  <c:v>67.467248908296938</c:v>
                </c:pt>
                <c:pt idx="9">
                  <c:v>72.233820459290186</c:v>
                </c:pt>
                <c:pt idx="10">
                  <c:v>64.739884393063591</c:v>
                </c:pt>
                <c:pt idx="11">
                  <c:v>63.565891472868216</c:v>
                </c:pt>
                <c:pt idx="12">
                  <c:v>61.963190184049076</c:v>
                </c:pt>
                <c:pt idx="13">
                  <c:v>71.331058020477812</c:v>
                </c:pt>
                <c:pt idx="14">
                  <c:v>63.965884861407254</c:v>
                </c:pt>
                <c:pt idx="15">
                  <c:v>68.28358208955224</c:v>
                </c:pt>
                <c:pt idx="16">
                  <c:v>68.910891089108901</c:v>
                </c:pt>
                <c:pt idx="17">
                  <c:v>74.8</c:v>
                </c:pt>
                <c:pt idx="18">
                  <c:v>66.428571428571431</c:v>
                </c:pt>
                <c:pt idx="19">
                  <c:v>69.214876033057848</c:v>
                </c:pt>
                <c:pt idx="20">
                  <c:v>68.735083532219562</c:v>
                </c:pt>
                <c:pt idx="21">
                  <c:v>43.518518518518519</c:v>
                </c:pt>
                <c:pt idx="22">
                  <c:v>62.5</c:v>
                </c:pt>
                <c:pt idx="23">
                  <c:v>69.45525291828794</c:v>
                </c:pt>
                <c:pt idx="24">
                  <c:v>70.588235294117652</c:v>
                </c:pt>
                <c:pt idx="25">
                  <c:v>70.89201877934272</c:v>
                </c:pt>
                <c:pt idx="26">
                  <c:v>72.727272727272734</c:v>
                </c:pt>
                <c:pt idx="27">
                  <c:v>70.647482014388487</c:v>
                </c:pt>
                <c:pt idx="28">
                  <c:v>73.095623987034031</c:v>
                </c:pt>
                <c:pt idx="29">
                  <c:v>72.920353982300895</c:v>
                </c:pt>
                <c:pt idx="30">
                  <c:v>72.508038585208993</c:v>
                </c:pt>
                <c:pt idx="31">
                  <c:v>68.892508143322473</c:v>
                </c:pt>
                <c:pt idx="32">
                  <c:v>71.404109589041099</c:v>
                </c:pt>
                <c:pt idx="33">
                  <c:v>69.507575757575751</c:v>
                </c:pt>
                <c:pt idx="34">
                  <c:v>72.355430183356845</c:v>
                </c:pt>
                <c:pt idx="35">
                  <c:v>73.134328358208961</c:v>
                </c:pt>
                <c:pt idx="36">
                  <c:v>73.622704507512523</c:v>
                </c:pt>
                <c:pt idx="37">
                  <c:v>71.764705882352942</c:v>
                </c:pt>
                <c:pt idx="38">
                  <c:v>72</c:v>
                </c:pt>
                <c:pt idx="39">
                  <c:v>68.133802816901408</c:v>
                </c:pt>
                <c:pt idx="40">
                  <c:v>70.534069981583798</c:v>
                </c:pt>
                <c:pt idx="41">
                  <c:v>67.549668874172184</c:v>
                </c:pt>
                <c:pt idx="42">
                  <c:v>63.683304647160064</c:v>
                </c:pt>
                <c:pt idx="43">
                  <c:v>64.627151051625248</c:v>
                </c:pt>
                <c:pt idx="44">
                  <c:v>65.401459854014604</c:v>
                </c:pt>
                <c:pt idx="45">
                  <c:v>65.186500888099459</c:v>
                </c:pt>
                <c:pt idx="46">
                  <c:v>65.309734513274336</c:v>
                </c:pt>
                <c:pt idx="47">
                  <c:v>69.169960474308297</c:v>
                </c:pt>
                <c:pt idx="48">
                  <c:v>71.504424778761063</c:v>
                </c:pt>
                <c:pt idx="49">
                  <c:v>71.54811715481172</c:v>
                </c:pt>
                <c:pt idx="50">
                  <c:v>64.343163538873995</c:v>
                </c:pt>
                <c:pt idx="51">
                  <c:v>65.587044534412954</c:v>
                </c:pt>
                <c:pt idx="52">
                  <c:v>69.02834008097166</c:v>
                </c:pt>
                <c:pt idx="53">
                  <c:v>70.53872053872054</c:v>
                </c:pt>
                <c:pt idx="54">
                  <c:v>67.730496453900713</c:v>
                </c:pt>
                <c:pt idx="55">
                  <c:v>70.298769771528995</c:v>
                </c:pt>
                <c:pt idx="56">
                  <c:v>71.63120567375887</c:v>
                </c:pt>
                <c:pt idx="57">
                  <c:v>72.647058823529406</c:v>
                </c:pt>
                <c:pt idx="58">
                  <c:v>78.063725490196077</c:v>
                </c:pt>
                <c:pt idx="59">
                  <c:v>72.172808132147395</c:v>
                </c:pt>
                <c:pt idx="60">
                  <c:v>75.658720200752825</c:v>
                </c:pt>
                <c:pt idx="61">
                  <c:v>75.273522975929978</c:v>
                </c:pt>
                <c:pt idx="62">
                  <c:v>70.390309555854643</c:v>
                </c:pt>
                <c:pt idx="63">
                  <c:v>71.801242236024848</c:v>
                </c:pt>
                <c:pt idx="64">
                  <c:v>65.596330275229349</c:v>
                </c:pt>
                <c:pt idx="65">
                  <c:v>68.888888888888886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16C-47E6-9446-FBC3F1F3998C}"/>
            </c:ext>
          </c:extLst>
        </c:ser>
        <c:ser>
          <c:idx val="1"/>
          <c:order val="1"/>
          <c:tx>
            <c:v>Urgent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'Activity Monitoring Report'!$A$104:$BN$104</c:f>
              <c:numCache>
                <c:formatCode>0.0</c:formatCode>
                <c:ptCount val="66"/>
                <c:pt idx="0">
                  <c:v>42.857142857142854</c:v>
                </c:pt>
                <c:pt idx="1">
                  <c:v>37.35224586288416</c:v>
                </c:pt>
                <c:pt idx="2">
                  <c:v>31.764705882352938</c:v>
                </c:pt>
                <c:pt idx="3">
                  <c:v>37.078651685393261</c:v>
                </c:pt>
                <c:pt idx="4">
                  <c:v>36.994219653179186</c:v>
                </c:pt>
                <c:pt idx="5">
                  <c:v>33.029612756264235</c:v>
                </c:pt>
                <c:pt idx="6">
                  <c:v>35.763097949886102</c:v>
                </c:pt>
                <c:pt idx="7">
                  <c:v>35.545023696682463</c:v>
                </c:pt>
                <c:pt idx="8">
                  <c:v>32.532751091703055</c:v>
                </c:pt>
                <c:pt idx="9">
                  <c:v>27.766179540709814</c:v>
                </c:pt>
                <c:pt idx="10">
                  <c:v>35.260115606936417</c:v>
                </c:pt>
                <c:pt idx="11">
                  <c:v>36.434108527131784</c:v>
                </c:pt>
                <c:pt idx="12">
                  <c:v>38.036809815950924</c:v>
                </c:pt>
                <c:pt idx="13">
                  <c:v>28.668941979522184</c:v>
                </c:pt>
                <c:pt idx="14">
                  <c:v>36.034115138592746</c:v>
                </c:pt>
                <c:pt idx="15">
                  <c:v>31.716417910447763</c:v>
                </c:pt>
                <c:pt idx="16">
                  <c:v>31.089108910891088</c:v>
                </c:pt>
                <c:pt idx="17">
                  <c:v>25.2</c:v>
                </c:pt>
                <c:pt idx="18">
                  <c:v>33.571428571428569</c:v>
                </c:pt>
                <c:pt idx="19">
                  <c:v>30.785123966942145</c:v>
                </c:pt>
                <c:pt idx="20">
                  <c:v>31.264916467780431</c:v>
                </c:pt>
                <c:pt idx="21">
                  <c:v>56.481481481481474</c:v>
                </c:pt>
                <c:pt idx="22">
                  <c:v>37.5</c:v>
                </c:pt>
                <c:pt idx="23">
                  <c:v>30.544747081712064</c:v>
                </c:pt>
                <c:pt idx="24">
                  <c:v>29.411764705882355</c:v>
                </c:pt>
                <c:pt idx="25">
                  <c:v>29.107981220657276</c:v>
                </c:pt>
                <c:pt idx="26">
                  <c:v>27.27272727272727</c:v>
                </c:pt>
                <c:pt idx="27">
                  <c:v>29.352517985611509</c:v>
                </c:pt>
                <c:pt idx="28">
                  <c:v>26.904376012965965</c:v>
                </c:pt>
                <c:pt idx="29">
                  <c:v>27.079646017699115</c:v>
                </c:pt>
                <c:pt idx="30">
                  <c:v>27.491961414790993</c:v>
                </c:pt>
                <c:pt idx="31">
                  <c:v>31.107491856677527</c:v>
                </c:pt>
                <c:pt idx="32">
                  <c:v>28.595890410958901</c:v>
                </c:pt>
                <c:pt idx="33">
                  <c:v>30.492424242424242</c:v>
                </c:pt>
                <c:pt idx="34">
                  <c:v>27.644569816643163</c:v>
                </c:pt>
                <c:pt idx="35">
                  <c:v>26.865671641791046</c:v>
                </c:pt>
                <c:pt idx="36">
                  <c:v>26.37729549248748</c:v>
                </c:pt>
                <c:pt idx="37">
                  <c:v>28.235294117647058</c:v>
                </c:pt>
                <c:pt idx="38">
                  <c:v>28.000000000000004</c:v>
                </c:pt>
                <c:pt idx="39">
                  <c:v>31.866197183098592</c:v>
                </c:pt>
                <c:pt idx="40">
                  <c:v>29.465930018416209</c:v>
                </c:pt>
                <c:pt idx="41">
                  <c:v>32.450331125827816</c:v>
                </c:pt>
                <c:pt idx="42">
                  <c:v>36.316695352839936</c:v>
                </c:pt>
                <c:pt idx="43">
                  <c:v>35.372848948374767</c:v>
                </c:pt>
                <c:pt idx="44">
                  <c:v>34.598540145985403</c:v>
                </c:pt>
                <c:pt idx="45">
                  <c:v>34.813499111900533</c:v>
                </c:pt>
                <c:pt idx="46">
                  <c:v>34.690265486725664</c:v>
                </c:pt>
                <c:pt idx="47">
                  <c:v>30.830039525691699</c:v>
                </c:pt>
                <c:pt idx="48">
                  <c:v>28.495575221238941</c:v>
                </c:pt>
                <c:pt idx="49">
                  <c:v>28.451882845188287</c:v>
                </c:pt>
                <c:pt idx="50">
                  <c:v>35.656836461126005</c:v>
                </c:pt>
                <c:pt idx="51">
                  <c:v>34.412955465587039</c:v>
                </c:pt>
                <c:pt idx="52">
                  <c:v>30.971659919028337</c:v>
                </c:pt>
                <c:pt idx="53">
                  <c:v>29.46127946127946</c:v>
                </c:pt>
                <c:pt idx="54">
                  <c:v>32.269503546099294</c:v>
                </c:pt>
                <c:pt idx="55">
                  <c:v>29.701230228471005</c:v>
                </c:pt>
                <c:pt idx="56">
                  <c:v>28.368794326241137</c:v>
                </c:pt>
                <c:pt idx="57">
                  <c:v>27.352941176470591</c:v>
                </c:pt>
                <c:pt idx="58">
                  <c:v>21.936274509803923</c:v>
                </c:pt>
                <c:pt idx="59">
                  <c:v>27.827191867852608</c:v>
                </c:pt>
                <c:pt idx="60">
                  <c:v>24.341279799247175</c:v>
                </c:pt>
                <c:pt idx="61">
                  <c:v>24.726477024070022</c:v>
                </c:pt>
                <c:pt idx="62">
                  <c:v>29.609690444145357</c:v>
                </c:pt>
                <c:pt idx="63">
                  <c:v>28.198757763975159</c:v>
                </c:pt>
                <c:pt idx="64">
                  <c:v>34.403669724770644</c:v>
                </c:pt>
                <c:pt idx="65">
                  <c:v>31.111111111111111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16C-47E6-9446-FBC3F1F399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00766200"/>
        <c:axId val="700764560"/>
      </c:lineChart>
      <c:catAx>
        <c:axId val="70076620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0764560"/>
        <c:crosses val="autoZero"/>
        <c:auto val="1"/>
        <c:lblAlgn val="ctr"/>
        <c:lblOffset val="100"/>
        <c:noMultiLvlLbl val="0"/>
      </c:catAx>
      <c:valAx>
        <c:axId val="7007645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% of total activity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07662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DAS Casemix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636-494B-807C-07E17E3A305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636-494B-807C-07E17E3A305A}"/>
              </c:ext>
            </c:extLst>
          </c:dPt>
          <c:dLbls>
            <c:dLbl>
              <c:idx val="1"/>
              <c:layout>
                <c:manualLayout>
                  <c:x val="0.22620605076699862"/>
                  <c:y val="-0.1087892274335273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636-494B-807C-07E17E3A305A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gradFill>
                  <a:gsLst>
                    <a:gs pos="0">
                      <a:schemeClr val="accent1">
                        <a:lumMod val="5000"/>
                        <a:lumOff val="95000"/>
                      </a:schemeClr>
                    </a:gs>
                    <a:gs pos="74000">
                      <a:schemeClr val="accent1">
                        <a:lumMod val="45000"/>
                        <a:lumOff val="55000"/>
                      </a:schemeClr>
                    </a:gs>
                    <a:gs pos="83000">
                      <a:schemeClr val="accent1">
                        <a:lumMod val="45000"/>
                        <a:lumOff val="55000"/>
                      </a:schemeClr>
                    </a:gs>
                    <a:gs pos="100000">
                      <a:schemeClr val="accent1">
                        <a:lumMod val="30000"/>
                        <a:lumOff val="70000"/>
                      </a:schemeClr>
                    </a:gs>
                  </a:gsLst>
                  <a:lin ang="5400000" scaled="1"/>
                </a:gradFill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'Activity Monitoring Report'!$A$96:$A$97</c:f>
              <c:strCache>
                <c:ptCount val="2"/>
                <c:pt idx="0">
                  <c:v>Urgent</c:v>
                </c:pt>
                <c:pt idx="1">
                  <c:v>Pressing Need</c:v>
                </c:pt>
              </c:strCache>
            </c:strRef>
          </c:cat>
          <c:val>
            <c:numRef>
              <c:f>'Activity Monitoring Report'!$B$96:$B$97</c:f>
              <c:numCache>
                <c:formatCode>General</c:formatCode>
                <c:ptCount val="2"/>
                <c:pt idx="0">
                  <c:v>10511</c:v>
                </c:pt>
                <c:pt idx="1">
                  <c:v>23810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636-494B-807C-07E17E3A305A}"/>
            </c:ext>
          </c:extLst>
        </c:ser>
        <c:dLbls>
          <c:dLblPos val="ctr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/>
              <a:t>DAS Activity (2025/26</a:t>
            </a:r>
            <a:r>
              <a:rPr lang="en-US"/>
              <a:t>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Casemix!$A$3</c:f>
              <c:strCache>
                <c:ptCount val="1"/>
                <c:pt idx="0">
                  <c:v>Urgent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Casemix!$B$3:$AF$3</c:f>
              <c:numCache>
                <c:formatCode>General</c:formatCode>
                <c:ptCount val="31"/>
                <c:pt idx="0">
                  <c:v>180</c:v>
                </c:pt>
                <c:pt idx="1">
                  <c:v>158</c:v>
                </c:pt>
                <c:pt idx="2">
                  <c:v>144</c:v>
                </c:pt>
                <c:pt idx="3">
                  <c:v>126</c:v>
                </c:pt>
                <c:pt idx="4">
                  <c:v>181</c:v>
                </c:pt>
                <c:pt idx="5">
                  <c:v>160</c:v>
                </c:pt>
                <c:pt idx="6">
                  <c:v>196</c:v>
                </c:pt>
                <c:pt idx="7">
                  <c:v>211</c:v>
                </c:pt>
                <c:pt idx="8">
                  <c:v>185</c:v>
                </c:pt>
                <c:pt idx="9">
                  <c:v>237</c:v>
                </c:pt>
                <c:pt idx="10">
                  <c:v>196</c:v>
                </c:pt>
                <c:pt idx="11">
                  <c:v>196</c:v>
                </c:pt>
                <c:pt idx="12">
                  <c:v>156</c:v>
                </c:pt>
                <c:pt idx="13">
                  <c:v>161</c:v>
                </c:pt>
                <c:pt idx="14">
                  <c:v>136</c:v>
                </c:pt>
                <c:pt idx="15">
                  <c:v>133</c:v>
                </c:pt>
                <c:pt idx="16">
                  <c:v>170</c:v>
                </c:pt>
                <c:pt idx="17">
                  <c:v>153</c:v>
                </c:pt>
                <c:pt idx="18">
                  <c:v>175</c:v>
                </c:pt>
                <c:pt idx="19">
                  <c:v>182</c:v>
                </c:pt>
                <c:pt idx="20">
                  <c:v>169</c:v>
                </c:pt>
                <c:pt idx="21">
                  <c:v>120</c:v>
                </c:pt>
                <c:pt idx="22">
                  <c:v>186</c:v>
                </c:pt>
                <c:pt idx="23">
                  <c:v>179</c:v>
                </c:pt>
                <c:pt idx="24">
                  <c:v>219</c:v>
                </c:pt>
                <c:pt idx="25">
                  <c:v>194</c:v>
                </c:pt>
                <c:pt idx="26">
                  <c:v>226</c:v>
                </c:pt>
                <c:pt idx="27">
                  <c:v>220</c:v>
                </c:pt>
                <c:pt idx="28">
                  <c:v>227</c:v>
                </c:pt>
                <c:pt idx="29">
                  <c:v>75</c:v>
                </c:pt>
                <c:pt idx="30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16-4C46-8ADF-F1CC0D10A6CC}"/>
            </c:ext>
          </c:extLst>
        </c:ser>
        <c:ser>
          <c:idx val="1"/>
          <c:order val="1"/>
          <c:tx>
            <c:strRef>
              <c:f>Casemix!$A$4</c:f>
              <c:strCache>
                <c:ptCount val="1"/>
                <c:pt idx="0">
                  <c:v>Pressing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Casemix!$B$4:$AF$4</c:f>
              <c:numCache>
                <c:formatCode>General</c:formatCode>
                <c:ptCount val="31"/>
                <c:pt idx="0">
                  <c:v>490</c:v>
                </c:pt>
                <c:pt idx="1">
                  <c:v>441</c:v>
                </c:pt>
                <c:pt idx="2">
                  <c:v>366</c:v>
                </c:pt>
                <c:pt idx="3">
                  <c:v>324</c:v>
                </c:pt>
                <c:pt idx="4">
                  <c:v>387</c:v>
                </c:pt>
                <c:pt idx="5">
                  <c:v>383</c:v>
                </c:pt>
                <c:pt idx="6">
                  <c:v>408</c:v>
                </c:pt>
                <c:pt idx="7">
                  <c:v>370</c:v>
                </c:pt>
                <c:pt idx="8">
                  <c:v>338</c:v>
                </c:pt>
                <c:pt idx="9">
                  <c:v>448</c:v>
                </c:pt>
                <c:pt idx="10">
                  <c:v>367</c:v>
                </c:pt>
                <c:pt idx="11">
                  <c:v>369</c:v>
                </c:pt>
                <c:pt idx="12">
                  <c:v>350</c:v>
                </c:pt>
                <c:pt idx="13">
                  <c:v>404</c:v>
                </c:pt>
                <c:pt idx="14">
                  <c:v>342</c:v>
                </c:pt>
                <c:pt idx="15">
                  <c:v>240</c:v>
                </c:pt>
                <c:pt idx="16">
                  <c:v>324</c:v>
                </c:pt>
                <c:pt idx="17">
                  <c:v>341</c:v>
                </c:pt>
                <c:pt idx="18">
                  <c:v>419</c:v>
                </c:pt>
                <c:pt idx="19">
                  <c:v>382</c:v>
                </c:pt>
                <c:pt idx="20">
                  <c:v>400</c:v>
                </c:pt>
                <c:pt idx="21">
                  <c:v>303</c:v>
                </c:pt>
                <c:pt idx="22">
                  <c:v>494</c:v>
                </c:pt>
                <c:pt idx="23">
                  <c:v>637</c:v>
                </c:pt>
                <c:pt idx="24">
                  <c:v>568</c:v>
                </c:pt>
                <c:pt idx="25">
                  <c:v>603</c:v>
                </c:pt>
                <c:pt idx="26">
                  <c:v>688</c:v>
                </c:pt>
                <c:pt idx="27">
                  <c:v>523</c:v>
                </c:pt>
                <c:pt idx="28">
                  <c:v>578</c:v>
                </c:pt>
                <c:pt idx="29">
                  <c:v>143</c:v>
                </c:pt>
                <c:pt idx="30">
                  <c:v>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C16-4C46-8ADF-F1CC0D10A6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75985872"/>
        <c:axId val="475986200"/>
        <c:axId val="0"/>
      </c:bar3DChart>
      <c:catAx>
        <c:axId val="47598587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Week Number (beginning April</a:t>
                </a:r>
                <a:r>
                  <a:rPr lang="en-US" baseline="0"/>
                  <a:t> 2025)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5986200"/>
        <c:crosses val="autoZero"/>
        <c:auto val="1"/>
        <c:lblAlgn val="ctr"/>
        <c:lblOffset val="100"/>
        <c:noMultiLvlLbl val="0"/>
      </c:catAx>
      <c:valAx>
        <c:axId val="475986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Number of Patients per Week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59858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="1"/>
              <a:t>Weekly</a:t>
            </a:r>
            <a:r>
              <a:rPr lang="en-GB" b="1" baseline="0"/>
              <a:t> Payments Compared to Budget (2025/26)</a:t>
            </a:r>
            <a:endParaRPr lang="en-GB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'Budget Monitoring Report'!$A$24</c:f>
              <c:strCache>
                <c:ptCount val="1"/>
                <c:pt idx="0">
                  <c:v>Budgeted Payments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val>
            <c:numRef>
              <c:f>'Budget Monitoring Report'!$B$24:$AF$24</c:f>
              <c:numCache>
                <c:formatCode>"£"#,##0</c:formatCode>
                <c:ptCount val="27"/>
                <c:pt idx="0">
                  <c:v>64000</c:v>
                </c:pt>
                <c:pt idx="1">
                  <c:v>64000</c:v>
                </c:pt>
                <c:pt idx="2">
                  <c:v>64000</c:v>
                </c:pt>
                <c:pt idx="3">
                  <c:v>64000</c:v>
                </c:pt>
                <c:pt idx="4">
                  <c:v>64000</c:v>
                </c:pt>
                <c:pt idx="5">
                  <c:v>64000</c:v>
                </c:pt>
                <c:pt idx="6">
                  <c:v>64000</c:v>
                </c:pt>
                <c:pt idx="7">
                  <c:v>64000</c:v>
                </c:pt>
                <c:pt idx="8">
                  <c:v>64000</c:v>
                </c:pt>
                <c:pt idx="9">
                  <c:v>64000</c:v>
                </c:pt>
                <c:pt idx="10">
                  <c:v>64000</c:v>
                </c:pt>
                <c:pt idx="11">
                  <c:v>64000</c:v>
                </c:pt>
                <c:pt idx="12">
                  <c:v>64000</c:v>
                </c:pt>
                <c:pt idx="13">
                  <c:v>64000</c:v>
                </c:pt>
                <c:pt idx="14">
                  <c:v>64000</c:v>
                </c:pt>
                <c:pt idx="15">
                  <c:v>64000</c:v>
                </c:pt>
                <c:pt idx="16">
                  <c:v>64000</c:v>
                </c:pt>
                <c:pt idx="17">
                  <c:v>64000</c:v>
                </c:pt>
                <c:pt idx="18">
                  <c:v>64000</c:v>
                </c:pt>
                <c:pt idx="19">
                  <c:v>64000</c:v>
                </c:pt>
                <c:pt idx="20">
                  <c:v>64000</c:v>
                </c:pt>
                <c:pt idx="21">
                  <c:v>64000</c:v>
                </c:pt>
                <c:pt idx="22">
                  <c:v>64000</c:v>
                </c:pt>
                <c:pt idx="23">
                  <c:v>64000</c:v>
                </c:pt>
                <c:pt idx="24">
                  <c:v>64000</c:v>
                </c:pt>
                <c:pt idx="25">
                  <c:v>64000</c:v>
                </c:pt>
                <c:pt idx="26">
                  <c:v>64000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A9A-47FD-BE39-2557A2622634}"/>
            </c:ext>
          </c:extLst>
        </c:ser>
        <c:ser>
          <c:idx val="1"/>
          <c:order val="1"/>
          <c:tx>
            <c:strRef>
              <c:f>'Budget Monitoring Report'!$A$25</c:f>
              <c:strCache>
                <c:ptCount val="1"/>
                <c:pt idx="0">
                  <c:v>Actual Payments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ellipsis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'Budget Monitoring Report'!$B$25:$AF$25</c:f>
              <c:numCache>
                <c:formatCode>"£"#,##0</c:formatCode>
                <c:ptCount val="27"/>
                <c:pt idx="0">
                  <c:v>69200.999999999985</c:v>
                </c:pt>
                <c:pt idx="1">
                  <c:v>65426.400000000023</c:v>
                </c:pt>
                <c:pt idx="2">
                  <c:v>73761.975000000006</c:v>
                </c:pt>
                <c:pt idx="3">
                  <c:v>72765.900000000009</c:v>
                </c:pt>
                <c:pt idx="4">
                  <c:v>64692.44999999999</c:v>
                </c:pt>
                <c:pt idx="5">
                  <c:v>84666.374999999971</c:v>
                </c:pt>
                <c:pt idx="6">
                  <c:v>69777.674999999988</c:v>
                </c:pt>
                <c:pt idx="7">
                  <c:v>69830.10000000002</c:v>
                </c:pt>
                <c:pt idx="8">
                  <c:v>61284.825000000004</c:v>
                </c:pt>
                <c:pt idx="9">
                  <c:v>67890.375</c:v>
                </c:pt>
                <c:pt idx="10">
                  <c:v>57300.524999999987</c:v>
                </c:pt>
                <c:pt idx="11">
                  <c:v>46134</c:v>
                </c:pt>
                <c:pt idx="12">
                  <c:v>61284.825000000012</c:v>
                </c:pt>
                <c:pt idx="13">
                  <c:v>60393.599999999999</c:v>
                </c:pt>
                <c:pt idx="14">
                  <c:v>71822.249999999985</c:v>
                </c:pt>
                <c:pt idx="15">
                  <c:v>68938.875</c:v>
                </c:pt>
                <c:pt idx="16">
                  <c:v>68624.324999999997</c:v>
                </c:pt>
                <c:pt idx="17">
                  <c:v>50799.824999999997</c:v>
                </c:pt>
                <c:pt idx="18">
                  <c:v>81153.900000000009</c:v>
                </c:pt>
                <c:pt idx="19">
                  <c:v>95413.499999999985</c:v>
                </c:pt>
                <c:pt idx="20">
                  <c:v>94574.699999999968</c:v>
                </c:pt>
                <c:pt idx="21">
                  <c:v>94207.725000000006</c:v>
                </c:pt>
                <c:pt idx="22">
                  <c:v>108257.62499999997</c:v>
                </c:pt>
                <c:pt idx="23">
                  <c:v>89908.874999999985</c:v>
                </c:pt>
                <c:pt idx="24">
                  <c:v>96462</c:v>
                </c:pt>
                <c:pt idx="25">
                  <c:v>27523.124999999996</c:v>
                </c:pt>
                <c:pt idx="26">
                  <c:v>10956.824999999999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A9A-47FD-BE39-2557A262263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68299360"/>
        <c:axId val="468296736"/>
      </c:barChart>
      <c:catAx>
        <c:axId val="4682993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b="1"/>
                  <a:t>Week Number (commencing 1 April 2025)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8296736"/>
        <c:crosses val="autoZero"/>
        <c:auto val="1"/>
        <c:lblAlgn val="ctr"/>
        <c:lblOffset val="100"/>
        <c:noMultiLvlLbl val="0"/>
      </c:catAx>
      <c:valAx>
        <c:axId val="468296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 b="1"/>
                  <a:t>£</a:t>
                </a:r>
                <a:r>
                  <a:rPr lang="en-US" sz="1200" b="1" baseline="0"/>
                  <a:t> Total Payments</a:t>
                </a:r>
                <a:endParaRPr lang="en-US" sz="1200" b="1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&quot;£&quot;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8299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>
      <a:effectLst/>
    </cs:defRPr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68000">
            <a:schemeClr val="lt1">
              <a:lumMod val="85000"/>
            </a:schemeClr>
          </a:gs>
          <a:gs pos="100000">
            <a:schemeClr val="lt1"/>
          </a:gs>
        </a:gsLst>
        <a:lin ang="5400000" scaled="1"/>
        <a:tileRect/>
      </a:gra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spPr/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gradFill>
          <a:gsLst>
            <a:gs pos="0">
              <a:schemeClr val="phClr"/>
            </a:gs>
            <a:gs pos="100000">
              <a:schemeClr val="phClr">
                <a:lumMod val="84000"/>
              </a:schemeClr>
            </a:gs>
          </a:gsLst>
          <a:lin ang="5400000" scaled="1"/>
        </a:gra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100000">
            <a:schemeClr val="phClr">
              <a:lumMod val="84000"/>
            </a:schemeClr>
          </a:gs>
        </a:gsLst>
        <a:lin ang="5400000" scaled="1"/>
      </a:gradFill>
      <a:effectLst>
        <a:outerShdw blurRad="76200" dir="18900000" sy="23000" kx="-1200000" algn="bl" rotWithShape="0">
          <a:prstClr val="black">
            <a:alpha val="20000"/>
          </a:prstClr>
        </a:outerShdw>
      </a:effectLst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kern="1200">
      <a:effectLst/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dk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AE6E0-A78B-4CF0-8E4A-4134FD190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HSCNI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Crabbe</dc:creator>
  <cp:keywords/>
  <dc:description/>
  <cp:lastModifiedBy>Laura Crawford</cp:lastModifiedBy>
  <cp:revision>2</cp:revision>
  <dcterms:created xsi:type="dcterms:W3CDTF">2025-11-06T12:08:00Z</dcterms:created>
  <dcterms:modified xsi:type="dcterms:W3CDTF">2025-11-06T12:08:00Z</dcterms:modified>
</cp:coreProperties>
</file>