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1C2C" w14:textId="0BFD38A0" w:rsidR="00190C09" w:rsidRDefault="001E7AAE" w:rsidP="001E7AAE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Call for Evidence – </w:t>
      </w:r>
      <w:proofErr w:type="spellStart"/>
      <w:r>
        <w:rPr>
          <w:rFonts w:ascii="Arial" w:hAnsi="Arial" w:cs="Arial"/>
          <w:b/>
          <w:bCs/>
          <w:lang w:val="en-US"/>
        </w:rPr>
        <w:t>Neighbourhood</w:t>
      </w:r>
      <w:proofErr w:type="spellEnd"/>
      <w:r>
        <w:rPr>
          <w:rFonts w:ascii="Arial" w:hAnsi="Arial" w:cs="Arial"/>
          <w:b/>
          <w:bCs/>
          <w:lang w:val="en-US"/>
        </w:rPr>
        <w:t xml:space="preserve"> Model – Mental Health in Primary Care</w:t>
      </w:r>
    </w:p>
    <w:p w14:paraId="0DAF7239" w14:textId="38043E88" w:rsidR="001E7AAE" w:rsidRDefault="001E7AAE" w:rsidP="001E7AAE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Damien Kavanagh</w:t>
      </w:r>
    </w:p>
    <w:p w14:paraId="4375A606" w14:textId="0A9D9A26" w:rsidR="001E7AAE" w:rsidRDefault="001E7AAE" w:rsidP="001E7AAE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Mental Health Lead</w:t>
      </w:r>
    </w:p>
    <w:p w14:paraId="234934F2" w14:textId="78C0A131" w:rsidR="00075F93" w:rsidRPr="00190C09" w:rsidRDefault="006641CD" w:rsidP="00190C09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190C09">
        <w:rPr>
          <w:rFonts w:ascii="Arial" w:hAnsi="Arial" w:cs="Arial"/>
          <w:b/>
          <w:bCs/>
          <w:lang w:val="en-US"/>
        </w:rPr>
        <w:t xml:space="preserve">Summary </w:t>
      </w:r>
    </w:p>
    <w:p w14:paraId="3FD6E09D" w14:textId="3E23F0B1" w:rsidR="006641CD" w:rsidRPr="00190C09" w:rsidRDefault="006641CD" w:rsidP="00190C09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190C09">
        <w:rPr>
          <w:rFonts w:ascii="Arial" w:hAnsi="Arial" w:cs="Arial"/>
          <w:b/>
          <w:bCs/>
          <w:lang w:val="en-US"/>
        </w:rPr>
        <w:t>Aims and Objectives</w:t>
      </w:r>
    </w:p>
    <w:p w14:paraId="02F3DD3B" w14:textId="16F80FA5" w:rsidR="00745357" w:rsidRPr="00190C09" w:rsidRDefault="00745357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Senior Mental Health Practitioners, as core members of the MDT work alongside colleagues in GP practice</w:t>
      </w:r>
      <w:r w:rsidR="001B2872" w:rsidRPr="00190C09">
        <w:rPr>
          <w:rFonts w:ascii="Arial" w:hAnsi="Arial" w:cs="Arial"/>
          <w:lang w:val="en-US"/>
        </w:rPr>
        <w:t>s</w:t>
      </w:r>
      <w:r w:rsidRPr="00190C09">
        <w:rPr>
          <w:rFonts w:ascii="Arial" w:hAnsi="Arial" w:cs="Arial"/>
          <w:lang w:val="en-US"/>
        </w:rPr>
        <w:t xml:space="preserve"> providing a first contact mental health service to patients across the lifespan who present in General Practice with a mental health issue.</w:t>
      </w:r>
    </w:p>
    <w:p w14:paraId="39A683E0" w14:textId="3BA4CEB6" w:rsidR="00745357" w:rsidRPr="00190C09" w:rsidRDefault="00745357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 xml:space="preserve">Senior Mental Health Practitioners undertake consultations with patients registered with the practice presenting with a range of needs and based on a </w:t>
      </w:r>
      <w:proofErr w:type="spellStart"/>
      <w:r w:rsidRPr="00190C09">
        <w:rPr>
          <w:rFonts w:ascii="Arial" w:hAnsi="Arial" w:cs="Arial"/>
          <w:lang w:val="en-US"/>
        </w:rPr>
        <w:t>standardised</w:t>
      </w:r>
      <w:proofErr w:type="spellEnd"/>
      <w:r w:rsidRPr="00190C09">
        <w:rPr>
          <w:rFonts w:ascii="Arial" w:hAnsi="Arial" w:cs="Arial"/>
          <w:lang w:val="en-US"/>
        </w:rPr>
        <w:t xml:space="preserve"> assessment pathway, providing an initial formulation of need, provide clinical advice, watchful waiting, prescribe if appropriate, provide initial short-term treatment at Step 1 and/or 2 of the Mental Health Stepped Care Pathway and/or signpost to other services, including a critical interface with HSC Trust mental health teams and community/voluntary sector providers.</w:t>
      </w:r>
    </w:p>
    <w:p w14:paraId="4DEBCDCA" w14:textId="58A2DCA6" w:rsidR="00745357" w:rsidRPr="00190C09" w:rsidRDefault="00745357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 xml:space="preserve">The service is underpinned by the five key components of public health: </w:t>
      </w:r>
    </w:p>
    <w:p w14:paraId="4CA11946" w14:textId="77777777" w:rsidR="00440D48" w:rsidRPr="00190C09" w:rsidRDefault="00745357" w:rsidP="00190C09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190C09">
        <w:rPr>
          <w:rFonts w:ascii="Arial" w:hAnsi="Arial" w:cs="Arial"/>
          <w:b/>
          <w:bCs/>
          <w:lang w:val="en-US"/>
        </w:rPr>
        <w:t>Assessment of Need</w:t>
      </w:r>
    </w:p>
    <w:p w14:paraId="625E08EA" w14:textId="15F514F0" w:rsidR="00745357" w:rsidRPr="00190C09" w:rsidRDefault="00745357" w:rsidP="00190C09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190C09">
        <w:rPr>
          <w:rFonts w:ascii="Arial" w:hAnsi="Arial" w:cs="Arial"/>
          <w:b/>
          <w:bCs/>
          <w:lang w:val="en-US"/>
        </w:rPr>
        <w:t>Population and Epidemiology data</w:t>
      </w:r>
    </w:p>
    <w:p w14:paraId="3B9FB761" w14:textId="6C10ADC1" w:rsidR="00745357" w:rsidRPr="00190C09" w:rsidRDefault="00745357" w:rsidP="00190C09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190C09">
        <w:rPr>
          <w:rFonts w:ascii="Arial" w:hAnsi="Arial" w:cs="Arial"/>
          <w:b/>
          <w:bCs/>
          <w:lang w:val="en-US"/>
        </w:rPr>
        <w:t xml:space="preserve">Inclusive access of </w:t>
      </w:r>
      <w:proofErr w:type="spellStart"/>
      <w:r w:rsidRPr="00190C09">
        <w:rPr>
          <w:rFonts w:ascii="Arial" w:hAnsi="Arial" w:cs="Arial"/>
          <w:b/>
          <w:bCs/>
          <w:lang w:val="en-US"/>
        </w:rPr>
        <w:t>marginalised</w:t>
      </w:r>
      <w:proofErr w:type="spellEnd"/>
      <w:r w:rsidRPr="00190C09">
        <w:rPr>
          <w:rFonts w:ascii="Arial" w:hAnsi="Arial" w:cs="Arial"/>
          <w:b/>
          <w:bCs/>
          <w:lang w:val="en-US"/>
        </w:rPr>
        <w:t xml:space="preserve"> and disadvantaged groups/ Targeting vulnerable groups/society</w:t>
      </w:r>
    </w:p>
    <w:p w14:paraId="47398251" w14:textId="5D29C19F" w:rsidR="00745357" w:rsidRPr="00190C09" w:rsidRDefault="00745357" w:rsidP="00190C09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190C09">
        <w:rPr>
          <w:rFonts w:ascii="Arial" w:hAnsi="Arial" w:cs="Arial"/>
          <w:b/>
          <w:bCs/>
          <w:lang w:val="en-US"/>
        </w:rPr>
        <w:t>Multi agency approaches (including Community and Voluntary sectors)</w:t>
      </w:r>
    </w:p>
    <w:p w14:paraId="4FA87BBA" w14:textId="074421A8" w:rsidR="00BA7272" w:rsidRPr="00190C09" w:rsidRDefault="00745357" w:rsidP="00190C09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190C09">
        <w:rPr>
          <w:rFonts w:ascii="Arial" w:hAnsi="Arial" w:cs="Arial"/>
          <w:b/>
          <w:bCs/>
          <w:lang w:val="en-US"/>
        </w:rPr>
        <w:t>Evaluation of services and inputs</w:t>
      </w:r>
    </w:p>
    <w:p w14:paraId="546FE890" w14:textId="77777777" w:rsidR="00A23190" w:rsidRPr="00190C09" w:rsidRDefault="00C40FCA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The service</w:t>
      </w:r>
      <w:r w:rsidR="00A23190" w:rsidRPr="00190C09">
        <w:rPr>
          <w:rFonts w:ascii="Arial" w:hAnsi="Arial" w:cs="Arial"/>
          <w:lang w:val="en-US"/>
        </w:rPr>
        <w:t>’s key priorities from a health equity perspective (Marmot, 2025) are:</w:t>
      </w:r>
    </w:p>
    <w:p w14:paraId="1CD87680" w14:textId="45F49E76" w:rsidR="0058453F" w:rsidRPr="00190C09" w:rsidRDefault="0058453F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 xml:space="preserve">Underpinning generational trauma, early intervention and prevention across the life cycle, addressing mental health inequalities, psychosocially in terms of housing, connectedness to community, education, employment, family relationships, early years, isolation/loneliness, physical health, perinatal support needs, alcohol and substance use and financial inequity.  </w:t>
      </w:r>
    </w:p>
    <w:p w14:paraId="3746BBA1" w14:textId="77777777" w:rsidR="0058453F" w:rsidRPr="00190C09" w:rsidRDefault="0058453F" w:rsidP="00190C09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9AEDC82" w14:textId="5E7CC97C" w:rsidR="0058453F" w:rsidRPr="00190C09" w:rsidRDefault="0058453F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 xml:space="preserve">Deprivation is much higher in Northern Ireland, according to new research by Queen’s University. Belfast </w:t>
      </w:r>
      <w:r w:rsidR="00A23190" w:rsidRPr="00190C09">
        <w:rPr>
          <w:rFonts w:ascii="Arial" w:hAnsi="Arial" w:cs="Arial"/>
          <w:lang w:val="en-US"/>
        </w:rPr>
        <w:t>contains</w:t>
      </w:r>
      <w:r w:rsidRPr="00190C09">
        <w:rPr>
          <w:rFonts w:ascii="Arial" w:hAnsi="Arial" w:cs="Arial"/>
          <w:lang w:val="en-US"/>
        </w:rPr>
        <w:t xml:space="preserve"> more deprived areas than any of the other 374 local authorities in Britain. Northern Ireland has the highest level of the most deprived areas in the UK at 25%. </w:t>
      </w:r>
    </w:p>
    <w:p w14:paraId="2423D466" w14:textId="5D074665" w:rsidR="0058453F" w:rsidRPr="00190C09" w:rsidRDefault="0058453F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Inequity of access to Primary Care is a significant feature regionally (BSO, 2024).</w:t>
      </w:r>
    </w:p>
    <w:p w14:paraId="1FE55EB4" w14:textId="6C236FED" w:rsidR="0058453F" w:rsidRPr="00190C09" w:rsidRDefault="0058453F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 xml:space="preserve">The service is addressing inequalities through the offer of equity of access (on a self-referral basis) to a first point of contact mental health service to people of all ages and on a whole population basis; identifying need, undertaking brief, specialist and preventative interventions, embedding the service in communities in which people live. </w:t>
      </w:r>
    </w:p>
    <w:p w14:paraId="387EC492" w14:textId="3D6EE560" w:rsidR="0058453F" w:rsidRPr="00190C09" w:rsidRDefault="0058453F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The service adopts an holistic, biopsychosocial approach to supporting people in their mental health journey; offering signposting support to community-based services, one to one supports and in some localities, group-based supports; complementing and augmenting support already offered by statutory, community and voluntary sector partner agencies.</w:t>
      </w:r>
    </w:p>
    <w:p w14:paraId="3194B76F" w14:textId="5EF72DC1" w:rsidR="006641CD" w:rsidRPr="00190C09" w:rsidRDefault="006641CD" w:rsidP="00190C09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190C09">
        <w:rPr>
          <w:rFonts w:ascii="Arial" w:hAnsi="Arial" w:cs="Arial"/>
          <w:b/>
          <w:bCs/>
          <w:lang w:val="en-US"/>
        </w:rPr>
        <w:t>Key activities</w:t>
      </w:r>
    </w:p>
    <w:tbl>
      <w:tblPr>
        <w:tblW w:w="7028" w:type="dxa"/>
        <w:tblLook w:val="04A0" w:firstRow="1" w:lastRow="0" w:firstColumn="1" w:lastColumn="0" w:noHBand="0" w:noVBand="1"/>
      </w:tblPr>
      <w:tblGrid>
        <w:gridCol w:w="5568"/>
        <w:gridCol w:w="1460"/>
      </w:tblGrid>
      <w:tr w:rsidR="00C65663" w:rsidRPr="00C65663" w14:paraId="5CEA7B83" w14:textId="77777777" w:rsidTr="00C65663">
        <w:trPr>
          <w:trHeight w:val="288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AAC17" w14:textId="433460F2" w:rsidR="00C65663" w:rsidRPr="00C65663" w:rsidRDefault="00C65663" w:rsidP="00190C0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West Belfast PC  MDT Service Activity Summary </w:t>
            </w:r>
            <w:r w:rsidR="005C33D3" w:rsidRPr="00190C0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MH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8D89B" w14:textId="77777777" w:rsidR="00C65663" w:rsidRPr="00C65663" w:rsidRDefault="00C6566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b/>
                <w:bCs/>
                <w:color w:val="7030A0"/>
                <w:kern w:val="0"/>
                <w:lang w:eastAsia="en-GB"/>
                <w14:ligatures w14:val="none"/>
              </w:rPr>
              <w:t> </w:t>
            </w:r>
          </w:p>
        </w:tc>
      </w:tr>
      <w:tr w:rsidR="00C65663" w:rsidRPr="00C65663" w14:paraId="53641B54" w14:textId="77777777" w:rsidTr="00C65663">
        <w:trPr>
          <w:trHeight w:val="288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913C30" w14:textId="77777777" w:rsidR="00C65663" w:rsidRPr="00C65663" w:rsidRDefault="00C6566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BED0FC" w14:textId="2B9817E9" w:rsidR="00C65663" w:rsidRPr="00C65663" w:rsidRDefault="00C6566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5663" w:rsidRPr="00C65663" w14:paraId="2C58F5AB" w14:textId="77777777" w:rsidTr="00C65663">
        <w:trPr>
          <w:trHeight w:val="288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3FCE" w14:textId="77777777" w:rsidR="00C65663" w:rsidRPr="00C65663" w:rsidRDefault="00C65663" w:rsidP="00190C09">
            <w:pPr>
              <w:spacing w:after="0" w:line="360" w:lineRule="auto"/>
              <w:ind w:firstLineChars="200" w:firstLine="480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Total Patients Seen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96F4" w14:textId="75EEEE1C" w:rsidR="00C65663" w:rsidRPr="00C65663" w:rsidRDefault="00790FCE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90C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19455</w:t>
            </w:r>
          </w:p>
        </w:tc>
      </w:tr>
      <w:tr w:rsidR="00C65663" w:rsidRPr="00C65663" w14:paraId="4F6201C4" w14:textId="77777777" w:rsidTr="00C65663">
        <w:trPr>
          <w:trHeight w:val="288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7197" w14:textId="77777777" w:rsidR="00C65663" w:rsidRPr="00C65663" w:rsidRDefault="00C65663" w:rsidP="00190C09">
            <w:pPr>
              <w:spacing w:after="0" w:line="360" w:lineRule="auto"/>
              <w:ind w:firstLineChars="200" w:firstLine="480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Total Patient Consultations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B134" w14:textId="0397AFA0" w:rsidR="00C65663" w:rsidRPr="00C65663" w:rsidRDefault="005405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90C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52235</w:t>
            </w:r>
          </w:p>
        </w:tc>
      </w:tr>
      <w:tr w:rsidR="00C65663" w:rsidRPr="00C65663" w14:paraId="1923818A" w14:textId="77777777" w:rsidTr="00C65663">
        <w:trPr>
          <w:trHeight w:val="288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EA8900" w14:textId="77777777" w:rsidR="00C65663" w:rsidRPr="00C65663" w:rsidRDefault="00C65663" w:rsidP="00190C09">
            <w:pPr>
              <w:spacing w:after="0" w:line="360" w:lineRule="auto"/>
              <w:ind w:firstLineChars="200" w:firstLine="482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OUTCOMES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96CC2C" w14:textId="77777777" w:rsidR="00C65663" w:rsidRPr="00C65663" w:rsidRDefault="00C6566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5663" w:rsidRPr="00C65663" w14:paraId="46B17778" w14:textId="77777777" w:rsidTr="00C65663">
        <w:trPr>
          <w:trHeight w:val="288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3E8A" w14:textId="77777777" w:rsidR="00C65663" w:rsidRPr="00C65663" w:rsidRDefault="00C65663" w:rsidP="00190C09">
            <w:pPr>
              <w:spacing w:after="0" w:line="360" w:lineRule="auto"/>
              <w:ind w:firstLineChars="200" w:firstLine="480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% patients managed in Primary Care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D87A" w14:textId="468D4110" w:rsidR="00C65663" w:rsidRPr="00C65663" w:rsidRDefault="00C6566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</w:t>
            </w:r>
            <w:r w:rsidR="005657AA" w:rsidRPr="00190C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3.5</w:t>
            </w:r>
            <w:r w:rsidRPr="00C6566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</w:tr>
      <w:tr w:rsidR="00C65663" w:rsidRPr="00C65663" w14:paraId="3B4C34F4" w14:textId="77777777" w:rsidTr="00C65663">
        <w:trPr>
          <w:trHeight w:val="288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1B73" w14:textId="77777777" w:rsidR="00C65663" w:rsidRPr="00C65663" w:rsidRDefault="00C65663" w:rsidP="00190C09">
            <w:pPr>
              <w:spacing w:after="0" w:line="360" w:lineRule="auto"/>
              <w:ind w:firstLineChars="200" w:firstLine="480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% Patients referred to Secondary Care AHP services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D0FC" w14:textId="062A89DF" w:rsidR="00806E50" w:rsidRPr="00C65663" w:rsidRDefault="00806E50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90C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  <w:r w:rsidR="0055679B" w:rsidRPr="00190C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  <w:r w:rsidRPr="00190C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</w:tr>
      <w:tr w:rsidR="00C65663" w:rsidRPr="00C65663" w14:paraId="5BD41B29" w14:textId="77777777" w:rsidTr="00C65663">
        <w:trPr>
          <w:trHeight w:val="288"/>
        </w:trPr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5392" w14:textId="77777777" w:rsidR="00C65663" w:rsidRPr="00C65663" w:rsidRDefault="00C65663" w:rsidP="00190C09">
            <w:pPr>
              <w:spacing w:after="0" w:line="360" w:lineRule="auto"/>
              <w:ind w:firstLineChars="200" w:firstLine="480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% Patients referred to Secondary Care Services Other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0D8F" w14:textId="09638997" w:rsidR="00C65663" w:rsidRPr="00C65663" w:rsidRDefault="00C6566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6566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  <w:r w:rsidR="001A7908" w:rsidRPr="00190C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  <w:r w:rsidRPr="00C6566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</w:tr>
    </w:tbl>
    <w:p w14:paraId="036AA8AF" w14:textId="77777777" w:rsidR="00C65663" w:rsidRPr="00190C09" w:rsidRDefault="00C65663" w:rsidP="00190C09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</w:p>
    <w:tbl>
      <w:tblPr>
        <w:tblW w:w="4403" w:type="dxa"/>
        <w:tblLook w:val="04A0" w:firstRow="1" w:lastRow="0" w:firstColumn="1" w:lastColumn="0" w:noHBand="0" w:noVBand="1"/>
      </w:tblPr>
      <w:tblGrid>
        <w:gridCol w:w="868"/>
        <w:gridCol w:w="3535"/>
      </w:tblGrid>
      <w:tr w:rsidR="005C33D3" w:rsidRPr="005C33D3" w14:paraId="759E1C5C" w14:textId="77777777" w:rsidTr="005C33D3">
        <w:trPr>
          <w:trHeight w:val="300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256F0" w14:textId="06BCE0B7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West Belfast PC MDT Top 5 Presenting Problems for Service Users</w:t>
            </w:r>
          </w:p>
        </w:tc>
      </w:tr>
      <w:tr w:rsidR="005C33D3" w:rsidRPr="005C33D3" w14:paraId="1FD5C2D5" w14:textId="77777777" w:rsidTr="005C33D3">
        <w:trPr>
          <w:trHeight w:val="28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B2FA32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3524E8" w14:textId="5A02C08C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C33D3" w:rsidRPr="005C33D3" w14:paraId="0B88CB6D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2418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87D5" w14:textId="77777777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</w:tr>
      <w:tr w:rsidR="005C33D3" w:rsidRPr="005C33D3" w14:paraId="5D98FFB7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CE4C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E7D7" w14:textId="77777777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Mood</w:t>
            </w:r>
          </w:p>
        </w:tc>
      </w:tr>
      <w:tr w:rsidR="005C33D3" w:rsidRPr="005C33D3" w14:paraId="7D44D3D3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FCCD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1ED7" w14:textId="77777777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Stress</w:t>
            </w:r>
          </w:p>
        </w:tc>
      </w:tr>
      <w:tr w:rsidR="005C33D3" w:rsidRPr="005C33D3" w14:paraId="29022198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4EEC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8495" w14:textId="327E39FF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</w:t>
            </w:r>
            <w:r w:rsidR="0001068B" w:rsidRPr="00190C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reavement</w:t>
            </w:r>
          </w:p>
        </w:tc>
      </w:tr>
      <w:tr w:rsidR="005C33D3" w:rsidRPr="005C33D3" w14:paraId="5CAC146E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9969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3F24" w14:textId="018077B0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</w:t>
            </w:r>
            <w:r w:rsidR="0001068B" w:rsidRPr="00190C0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ocial needs</w:t>
            </w:r>
          </w:p>
        </w:tc>
      </w:tr>
      <w:tr w:rsidR="005C33D3" w:rsidRPr="005C33D3" w14:paraId="471218B1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89D52" w14:textId="77777777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83912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5C33D3" w:rsidRPr="005C33D3" w14:paraId="6CB12C64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A1E23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2E467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5C33D3" w:rsidRPr="005C33D3" w14:paraId="241BA6DA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0E486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BCD9C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5C33D3" w:rsidRPr="005C33D3" w14:paraId="545D4E35" w14:textId="77777777" w:rsidTr="005C33D3">
        <w:trPr>
          <w:trHeight w:val="288"/>
        </w:trPr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3E066" w14:textId="77777777" w:rsidR="007759A1" w:rsidRPr="00190C09" w:rsidRDefault="007759A1" w:rsidP="00190C0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3DCB01E" w14:textId="6CA315B0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West Belfast PC MDT Services Provided </w:t>
            </w:r>
          </w:p>
        </w:tc>
      </w:tr>
      <w:tr w:rsidR="005C33D3" w:rsidRPr="005C33D3" w14:paraId="1D5D2E19" w14:textId="77777777" w:rsidTr="005C33D3">
        <w:trPr>
          <w:trHeight w:val="28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8E22E5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DD6449" w14:textId="651C741A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C33D3" w:rsidRPr="005C33D3" w14:paraId="33247DFB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25F0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2C27" w14:textId="77777777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Advice about psychological wellbeing</w:t>
            </w:r>
          </w:p>
        </w:tc>
      </w:tr>
      <w:tr w:rsidR="005C33D3" w:rsidRPr="005C33D3" w14:paraId="3F675FAB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C74D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8287" w14:textId="77777777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Psychoeducation</w:t>
            </w:r>
          </w:p>
        </w:tc>
      </w:tr>
      <w:tr w:rsidR="005C33D3" w:rsidRPr="005C33D3" w14:paraId="47DE8382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E8CD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FDD4" w14:textId="77777777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Brief solution focused therapy</w:t>
            </w:r>
          </w:p>
        </w:tc>
      </w:tr>
      <w:tr w:rsidR="005C33D3" w:rsidRPr="005C33D3" w14:paraId="15DFCF1F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F5BB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E92A" w14:textId="77777777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Anxiety management</w:t>
            </w:r>
          </w:p>
        </w:tc>
      </w:tr>
      <w:tr w:rsidR="005C33D3" w:rsidRPr="005C33D3" w14:paraId="3503B3AD" w14:textId="77777777" w:rsidTr="005C33D3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8A17" w14:textId="77777777" w:rsidR="005C33D3" w:rsidRPr="005C33D3" w:rsidRDefault="005C33D3" w:rsidP="00190C0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662D" w14:textId="77777777" w:rsidR="005C33D3" w:rsidRPr="005C33D3" w:rsidRDefault="005C33D3" w:rsidP="00190C09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33D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Stress counselling</w:t>
            </w:r>
          </w:p>
        </w:tc>
      </w:tr>
    </w:tbl>
    <w:p w14:paraId="3C81260B" w14:textId="77777777" w:rsidR="005C33D3" w:rsidRPr="00190C09" w:rsidRDefault="005C33D3" w:rsidP="00190C09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4BD9119A" w14:textId="515E76E0" w:rsidR="006641CD" w:rsidRPr="00190C09" w:rsidRDefault="006641CD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Parkrun</w:t>
      </w:r>
    </w:p>
    <w:p w14:paraId="5637D1FD" w14:textId="440E2261" w:rsidR="00A7214E" w:rsidRPr="00190C09" w:rsidRDefault="00A7214E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As part of the promotion of Primary Care MDT services within West Belfast GP Federation,</w:t>
      </w:r>
      <w:r w:rsidR="0000449D">
        <w:rPr>
          <w:rFonts w:ascii="Arial" w:hAnsi="Arial" w:cs="Arial"/>
          <w:lang w:val="en-US"/>
        </w:rPr>
        <w:t xml:space="preserve"> </w:t>
      </w:r>
      <w:r w:rsidRPr="00190C09">
        <w:rPr>
          <w:rFonts w:ascii="Arial" w:hAnsi="Arial" w:cs="Arial"/>
          <w:lang w:val="en-US"/>
        </w:rPr>
        <w:t xml:space="preserve"> MDT staff volunteers from the across the 16 GP practices marshalled and ran at the Falls Park parkrun on the 19th of October</w:t>
      </w:r>
      <w:r w:rsidR="00F00CE7" w:rsidRPr="00190C09">
        <w:rPr>
          <w:rFonts w:ascii="Arial" w:hAnsi="Arial" w:cs="Arial"/>
          <w:lang w:val="en-US"/>
        </w:rPr>
        <w:t>, 2024</w:t>
      </w:r>
      <w:r w:rsidRPr="00190C09">
        <w:rPr>
          <w:rFonts w:ascii="Arial" w:hAnsi="Arial" w:cs="Arial"/>
          <w:lang w:val="en-US"/>
        </w:rPr>
        <w:t xml:space="preserve">. </w:t>
      </w:r>
    </w:p>
    <w:p w14:paraId="367FAA3B" w14:textId="77777777" w:rsidR="00A7214E" w:rsidRPr="00190C09" w:rsidRDefault="00A7214E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The team was on hand to give runners information about the range First Contact MDT</w:t>
      </w:r>
    </w:p>
    <w:p w14:paraId="28610AEF" w14:textId="44E9741B" w:rsidR="00A7214E" w:rsidRPr="00190C09" w:rsidRDefault="00A7214E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 xml:space="preserve"> professional services on offer within the West Belfast GP Federation practices. Staff were</w:t>
      </w:r>
      <w:r w:rsidR="0000449D">
        <w:rPr>
          <w:rFonts w:ascii="Arial" w:hAnsi="Arial" w:cs="Arial"/>
          <w:lang w:val="en-US"/>
        </w:rPr>
        <w:t xml:space="preserve"> </w:t>
      </w:r>
      <w:r w:rsidRPr="00190C09">
        <w:rPr>
          <w:rFonts w:ascii="Arial" w:hAnsi="Arial" w:cs="Arial"/>
          <w:lang w:val="en-US"/>
        </w:rPr>
        <w:t xml:space="preserve"> also able to promote the benefits of partic</w:t>
      </w:r>
      <w:r w:rsidR="00F00CE7" w:rsidRPr="00190C09">
        <w:rPr>
          <w:rFonts w:ascii="Arial" w:hAnsi="Arial" w:cs="Arial"/>
          <w:lang w:val="en-US"/>
        </w:rPr>
        <w:t>i</w:t>
      </w:r>
      <w:r w:rsidRPr="00190C09">
        <w:rPr>
          <w:rFonts w:ascii="Arial" w:hAnsi="Arial" w:cs="Arial"/>
          <w:lang w:val="en-US"/>
        </w:rPr>
        <w:t>pation in exercise which can boost self-esteem,</w:t>
      </w:r>
      <w:r w:rsidR="00F00CE7" w:rsidRPr="00190C09">
        <w:rPr>
          <w:rFonts w:ascii="Arial" w:hAnsi="Arial" w:cs="Arial"/>
          <w:lang w:val="en-US"/>
        </w:rPr>
        <w:t xml:space="preserve"> </w:t>
      </w:r>
      <w:r w:rsidRPr="00190C09">
        <w:rPr>
          <w:rFonts w:ascii="Arial" w:hAnsi="Arial" w:cs="Arial"/>
          <w:lang w:val="en-US"/>
        </w:rPr>
        <w:t xml:space="preserve"> mood, sleep quality and energy, as well as reducing your risk of stress, with people doing regular physical activity having a lower risk of several health </w:t>
      </w:r>
      <w:r w:rsidRPr="00190C09">
        <w:rPr>
          <w:rFonts w:ascii="Arial" w:hAnsi="Arial" w:cs="Arial"/>
          <w:lang w:val="en-US"/>
        </w:rPr>
        <w:lastRenderedPageBreak/>
        <w:t>conditions such as Coronary</w:t>
      </w:r>
      <w:r w:rsidR="00F00CE7" w:rsidRPr="00190C09">
        <w:rPr>
          <w:rFonts w:ascii="Arial" w:hAnsi="Arial" w:cs="Arial"/>
          <w:lang w:val="en-US"/>
        </w:rPr>
        <w:t xml:space="preserve"> </w:t>
      </w:r>
      <w:r w:rsidRPr="00190C09">
        <w:rPr>
          <w:rFonts w:ascii="Arial" w:hAnsi="Arial" w:cs="Arial"/>
          <w:lang w:val="en-US"/>
        </w:rPr>
        <w:t xml:space="preserve"> Heart Disease, Type 2 Diabetes, Depression, Dementia and some forms of Cancer.</w:t>
      </w:r>
    </w:p>
    <w:p w14:paraId="5EF393DE" w14:textId="1E4CDC39" w:rsidR="006641CD" w:rsidRPr="00190C09" w:rsidRDefault="006641CD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ADHD</w:t>
      </w:r>
    </w:p>
    <w:p w14:paraId="62119085" w14:textId="67A48ADA" w:rsidR="00F00CE7" w:rsidRPr="00190C09" w:rsidRDefault="00F00CE7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  <w:lang w:val="en-US"/>
        </w:rPr>
        <w:t>Senior Mental Health Practitioners</w:t>
      </w:r>
      <w:r w:rsidR="00271C5D" w:rsidRPr="00190C09">
        <w:rPr>
          <w:rFonts w:ascii="Arial" w:hAnsi="Arial" w:cs="Arial"/>
          <w:lang w:val="en-US"/>
        </w:rPr>
        <w:t xml:space="preserve"> (SMHPs) have supported a local organization in the co-design and development of </w:t>
      </w:r>
      <w:r w:rsidR="001A7405" w:rsidRPr="00190C09">
        <w:rPr>
          <w:rFonts w:ascii="Arial" w:hAnsi="Arial" w:cs="Arial"/>
        </w:rPr>
        <w:t xml:space="preserve">a seed-funded pilot project based in a neighbourhood that provides people with </w:t>
      </w:r>
      <w:r w:rsidR="004323D1" w:rsidRPr="00190C09">
        <w:rPr>
          <w:rFonts w:ascii="Arial" w:hAnsi="Arial" w:cs="Arial"/>
        </w:rPr>
        <w:t>a greater understanding of how ADHD may affect</w:t>
      </w:r>
      <w:r w:rsidR="001A7405" w:rsidRPr="00190C09">
        <w:rPr>
          <w:rFonts w:ascii="Arial" w:hAnsi="Arial" w:cs="Arial"/>
        </w:rPr>
        <w:t xml:space="preserve"> them as well as </w:t>
      </w:r>
      <w:r w:rsidR="0044746B" w:rsidRPr="00190C09">
        <w:rPr>
          <w:rFonts w:ascii="Arial" w:hAnsi="Arial" w:cs="Arial"/>
        </w:rPr>
        <w:t>supporting them</w:t>
      </w:r>
      <w:r w:rsidR="004323D1" w:rsidRPr="00190C09">
        <w:rPr>
          <w:rFonts w:ascii="Arial" w:hAnsi="Arial" w:cs="Arial"/>
        </w:rPr>
        <w:t xml:space="preserve"> to discover strengths and provide ideas and solutions to help make life a little easier. </w:t>
      </w:r>
    </w:p>
    <w:p w14:paraId="3D3BC77D" w14:textId="65D1D6FD" w:rsidR="004323D1" w:rsidRPr="00190C09" w:rsidRDefault="0007787B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</w:rPr>
        <w:t>A</w:t>
      </w:r>
      <w:r w:rsidR="0044746B" w:rsidRPr="00190C09">
        <w:rPr>
          <w:rFonts w:ascii="Arial" w:hAnsi="Arial" w:cs="Arial"/>
        </w:rPr>
        <w:t xml:space="preserve"> further</w:t>
      </w:r>
      <w:r w:rsidRPr="00190C09">
        <w:rPr>
          <w:rFonts w:ascii="Arial" w:hAnsi="Arial" w:cs="Arial"/>
        </w:rPr>
        <w:t xml:space="preserve"> experiential workshop for partners and parents of </w:t>
      </w:r>
      <w:r w:rsidR="0044746B" w:rsidRPr="00190C09">
        <w:rPr>
          <w:rFonts w:ascii="Arial" w:hAnsi="Arial" w:cs="Arial"/>
        </w:rPr>
        <w:t>people</w:t>
      </w:r>
      <w:r w:rsidRPr="00190C09">
        <w:rPr>
          <w:rFonts w:ascii="Arial" w:hAnsi="Arial" w:cs="Arial"/>
        </w:rPr>
        <w:t xml:space="preserve"> with ADHD</w:t>
      </w:r>
      <w:r w:rsidR="0044746B" w:rsidRPr="00190C09">
        <w:rPr>
          <w:rFonts w:ascii="Arial" w:hAnsi="Arial" w:cs="Arial"/>
        </w:rPr>
        <w:t xml:space="preserve"> has been co-</w:t>
      </w:r>
      <w:r w:rsidRPr="00190C09">
        <w:rPr>
          <w:rFonts w:ascii="Arial" w:hAnsi="Arial" w:cs="Arial"/>
        </w:rPr>
        <w:t xml:space="preserve">designed to help </w:t>
      </w:r>
      <w:r w:rsidR="0044746B" w:rsidRPr="00190C09">
        <w:rPr>
          <w:rFonts w:ascii="Arial" w:hAnsi="Arial" w:cs="Arial"/>
        </w:rPr>
        <w:t>people</w:t>
      </w:r>
      <w:r w:rsidRPr="00190C09">
        <w:rPr>
          <w:rFonts w:ascii="Arial" w:hAnsi="Arial" w:cs="Arial"/>
        </w:rPr>
        <w:t xml:space="preserve"> better understand what is happening for </w:t>
      </w:r>
      <w:r w:rsidR="0044746B" w:rsidRPr="00190C09">
        <w:rPr>
          <w:rFonts w:ascii="Arial" w:hAnsi="Arial" w:cs="Arial"/>
        </w:rPr>
        <w:t>their</w:t>
      </w:r>
      <w:r w:rsidRPr="00190C09">
        <w:rPr>
          <w:rFonts w:ascii="Arial" w:hAnsi="Arial" w:cs="Arial"/>
        </w:rPr>
        <w:t xml:space="preserve"> loved one</w:t>
      </w:r>
      <w:r w:rsidR="0044746B" w:rsidRPr="00190C09">
        <w:rPr>
          <w:rFonts w:ascii="Arial" w:hAnsi="Arial" w:cs="Arial"/>
        </w:rPr>
        <w:t>s</w:t>
      </w:r>
      <w:r w:rsidRPr="00190C09">
        <w:rPr>
          <w:rFonts w:ascii="Arial" w:hAnsi="Arial" w:cs="Arial"/>
        </w:rPr>
        <w:t xml:space="preserve"> and provide </w:t>
      </w:r>
      <w:r w:rsidR="0044746B" w:rsidRPr="00190C09">
        <w:rPr>
          <w:rFonts w:ascii="Arial" w:hAnsi="Arial" w:cs="Arial"/>
        </w:rPr>
        <w:t>them</w:t>
      </w:r>
      <w:r w:rsidRPr="00190C09">
        <w:rPr>
          <w:rFonts w:ascii="Arial" w:hAnsi="Arial" w:cs="Arial"/>
        </w:rPr>
        <w:t xml:space="preserve"> with practical ways in which </w:t>
      </w:r>
      <w:r w:rsidR="0044746B" w:rsidRPr="00190C09">
        <w:rPr>
          <w:rFonts w:ascii="Arial" w:hAnsi="Arial" w:cs="Arial"/>
        </w:rPr>
        <w:t>they</w:t>
      </w:r>
      <w:r w:rsidRPr="00190C09">
        <w:rPr>
          <w:rFonts w:ascii="Arial" w:hAnsi="Arial" w:cs="Arial"/>
        </w:rPr>
        <w:t xml:space="preserve"> can support them. </w:t>
      </w:r>
    </w:p>
    <w:p w14:paraId="001F0207" w14:textId="77777777" w:rsidR="004E5DFC" w:rsidRPr="00190C09" w:rsidRDefault="004E5DFC" w:rsidP="00190C09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FEF3BA7" w14:textId="297EB7F9" w:rsidR="004E5DFC" w:rsidRPr="00190C09" w:rsidRDefault="004E5DFC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 xml:space="preserve">Pathfinder </w:t>
      </w:r>
      <w:r w:rsidR="00044130" w:rsidRPr="00190C09">
        <w:rPr>
          <w:rFonts w:ascii="Arial" w:hAnsi="Arial" w:cs="Arial"/>
          <w:lang w:val="en-US"/>
        </w:rPr>
        <w:t>Project (Regional Mental Health Service)</w:t>
      </w:r>
      <w:r w:rsidRPr="00190C09">
        <w:rPr>
          <w:rFonts w:ascii="Arial" w:hAnsi="Arial" w:cs="Arial"/>
          <w:lang w:val="en-US"/>
        </w:rPr>
        <w:t xml:space="preserve">: </w:t>
      </w:r>
    </w:p>
    <w:p w14:paraId="6BB8B5BB" w14:textId="150C602D" w:rsidR="004E5DFC" w:rsidRPr="00190C09" w:rsidRDefault="004E5DFC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 xml:space="preserve">A </w:t>
      </w:r>
      <w:r w:rsidR="00044130" w:rsidRPr="00190C09">
        <w:rPr>
          <w:rFonts w:ascii="Arial" w:hAnsi="Arial" w:cs="Arial"/>
          <w:lang w:val="en-US"/>
        </w:rPr>
        <w:t>‘Pathfinder Project’ under the auspices of the Regional Mental Health Service,</w:t>
      </w:r>
      <w:r w:rsidRPr="00190C09">
        <w:rPr>
          <w:rFonts w:ascii="Arial" w:hAnsi="Arial" w:cs="Arial"/>
          <w:lang w:val="en-US"/>
        </w:rPr>
        <w:t xml:space="preserve"> between West Belfast GP Federation (incorporating SMHP and FSU Connected Community Care colleagues)</w:t>
      </w:r>
      <w:r w:rsidR="00044130" w:rsidRPr="00190C09">
        <w:rPr>
          <w:rFonts w:ascii="Arial" w:hAnsi="Arial" w:cs="Arial"/>
          <w:lang w:val="en-US"/>
        </w:rPr>
        <w:t>, Community and Voluntary Sector colleagues, people with lived experience</w:t>
      </w:r>
      <w:r w:rsidRPr="00190C09">
        <w:rPr>
          <w:rFonts w:ascii="Arial" w:hAnsi="Arial" w:cs="Arial"/>
          <w:lang w:val="en-US"/>
        </w:rPr>
        <w:t xml:space="preserve"> and </w:t>
      </w:r>
      <w:r w:rsidR="00044130" w:rsidRPr="00190C09">
        <w:rPr>
          <w:rFonts w:ascii="Arial" w:hAnsi="Arial" w:cs="Arial"/>
          <w:lang w:val="en-US"/>
        </w:rPr>
        <w:t xml:space="preserve">the </w:t>
      </w:r>
      <w:r w:rsidRPr="00190C09">
        <w:rPr>
          <w:rFonts w:ascii="Arial" w:hAnsi="Arial" w:cs="Arial"/>
          <w:lang w:val="en-US"/>
        </w:rPr>
        <w:t>Belfast HSC Trust is being</w:t>
      </w:r>
      <w:r w:rsidR="00044130" w:rsidRPr="00190C09">
        <w:rPr>
          <w:rFonts w:ascii="Arial" w:hAnsi="Arial" w:cs="Arial"/>
          <w:lang w:val="en-US"/>
        </w:rPr>
        <w:t xml:space="preserve"> co-designed</w:t>
      </w:r>
      <w:r w:rsidR="00452473" w:rsidRPr="00190C09">
        <w:rPr>
          <w:rFonts w:ascii="Arial" w:hAnsi="Arial" w:cs="Arial"/>
          <w:lang w:val="en-US"/>
        </w:rPr>
        <w:t xml:space="preserve"> to improve the </w:t>
      </w:r>
      <w:r w:rsidR="00903D7B" w:rsidRPr="00190C09">
        <w:rPr>
          <w:rFonts w:ascii="Arial" w:hAnsi="Arial" w:cs="Arial"/>
          <w:lang w:val="en-US"/>
        </w:rPr>
        <w:t>experience</w:t>
      </w:r>
      <w:r w:rsidR="00452473" w:rsidRPr="00190C09">
        <w:rPr>
          <w:rFonts w:ascii="Arial" w:hAnsi="Arial" w:cs="Arial"/>
          <w:lang w:val="en-US"/>
        </w:rPr>
        <w:t xml:space="preserve"> for people using mental health services</w:t>
      </w:r>
      <w:r w:rsidRPr="00190C09">
        <w:rPr>
          <w:rFonts w:ascii="Arial" w:hAnsi="Arial" w:cs="Arial"/>
          <w:lang w:val="en-US"/>
        </w:rPr>
        <w:t xml:space="preserve">. </w:t>
      </w:r>
    </w:p>
    <w:p w14:paraId="1B00AD28" w14:textId="0D83A6D9" w:rsidR="003538C6" w:rsidRPr="00190C09" w:rsidRDefault="003E1071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Baseline data</w:t>
      </w:r>
      <w:r w:rsidR="004E5DFC" w:rsidRPr="00190C09">
        <w:rPr>
          <w:rFonts w:ascii="Arial" w:hAnsi="Arial" w:cs="Arial"/>
          <w:lang w:val="en-US"/>
        </w:rPr>
        <w:t xml:space="preserve"> (GPIP and BHSCT data from Encompass) for the relevant patient population</w:t>
      </w:r>
      <w:r w:rsidRPr="00190C09">
        <w:rPr>
          <w:rFonts w:ascii="Arial" w:hAnsi="Arial" w:cs="Arial"/>
          <w:lang w:val="en-US"/>
        </w:rPr>
        <w:t xml:space="preserve"> have b</w:t>
      </w:r>
      <w:r w:rsidR="003538C6" w:rsidRPr="00190C09">
        <w:rPr>
          <w:rFonts w:ascii="Arial" w:hAnsi="Arial" w:cs="Arial"/>
          <w:lang w:val="en-US"/>
        </w:rPr>
        <w:t>een identified, process mapping has been completed and a workshop to agree change ideas is scheduled for Decem</w:t>
      </w:r>
      <w:r w:rsidR="00B935E0" w:rsidRPr="00190C09">
        <w:rPr>
          <w:rFonts w:ascii="Arial" w:hAnsi="Arial" w:cs="Arial"/>
          <w:lang w:val="en-US"/>
        </w:rPr>
        <w:t>b</w:t>
      </w:r>
      <w:r w:rsidR="003538C6" w:rsidRPr="00190C09">
        <w:rPr>
          <w:rFonts w:ascii="Arial" w:hAnsi="Arial" w:cs="Arial"/>
          <w:lang w:val="en-US"/>
        </w:rPr>
        <w:t xml:space="preserve">er 2025. </w:t>
      </w:r>
    </w:p>
    <w:p w14:paraId="070D5C57" w14:textId="567CD1A6" w:rsidR="004E5DFC" w:rsidRPr="00190C09" w:rsidRDefault="003538C6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 xml:space="preserve">The underpinning ethos </w:t>
      </w:r>
      <w:r w:rsidR="00A23E98" w:rsidRPr="00190C09">
        <w:rPr>
          <w:rFonts w:ascii="Arial" w:hAnsi="Arial" w:cs="Arial"/>
          <w:lang w:val="en-US"/>
        </w:rPr>
        <w:t xml:space="preserve">is one of a common purpose and shared relationships in improving the experience at a </w:t>
      </w:r>
      <w:proofErr w:type="spellStart"/>
      <w:r w:rsidR="00A23E98" w:rsidRPr="00190C09">
        <w:rPr>
          <w:rFonts w:ascii="Arial" w:hAnsi="Arial" w:cs="Arial"/>
          <w:lang w:val="en-US"/>
        </w:rPr>
        <w:t>neighbourhood</w:t>
      </w:r>
      <w:proofErr w:type="spellEnd"/>
      <w:r w:rsidR="00A23E98" w:rsidRPr="00190C09">
        <w:rPr>
          <w:rFonts w:ascii="Arial" w:hAnsi="Arial" w:cs="Arial"/>
          <w:lang w:val="en-US"/>
        </w:rPr>
        <w:t xml:space="preserve"> level </w:t>
      </w:r>
      <w:r w:rsidR="00B935E0" w:rsidRPr="00190C09">
        <w:rPr>
          <w:rFonts w:ascii="Arial" w:hAnsi="Arial" w:cs="Arial"/>
          <w:lang w:val="en-US"/>
        </w:rPr>
        <w:t xml:space="preserve">with and for people using services. </w:t>
      </w:r>
    </w:p>
    <w:p w14:paraId="591A725C" w14:textId="15905394" w:rsidR="00B935E0" w:rsidRPr="00190C09" w:rsidRDefault="00B935E0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Towards Zero Suicide:</w:t>
      </w:r>
    </w:p>
    <w:p w14:paraId="0B5B943C" w14:textId="2FCF1598" w:rsidR="00B935E0" w:rsidRPr="00190C09" w:rsidRDefault="00B935E0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The Mental Health Lead represents Primary Care on the local TZS Implementation Group and on the Regional Collaborative Board, recognizing the vital role of primary care on an early intervention</w:t>
      </w:r>
      <w:r w:rsidR="00825366" w:rsidRPr="00190C09">
        <w:rPr>
          <w:rFonts w:ascii="Arial" w:hAnsi="Arial" w:cs="Arial"/>
          <w:lang w:val="en-US"/>
        </w:rPr>
        <w:t xml:space="preserve"> and prevention basis from a suicide and self-harm perspective. </w:t>
      </w:r>
    </w:p>
    <w:p w14:paraId="691819DB" w14:textId="5470D0F6" w:rsidR="006641CD" w:rsidRPr="00190C09" w:rsidRDefault="006641CD" w:rsidP="00190C09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190C09">
        <w:rPr>
          <w:rFonts w:ascii="Arial" w:hAnsi="Arial" w:cs="Arial"/>
          <w:b/>
          <w:bCs/>
          <w:lang w:val="en-US"/>
        </w:rPr>
        <w:t>Outcomes:</w:t>
      </w:r>
    </w:p>
    <w:p w14:paraId="4108C1EC" w14:textId="01D04A3E" w:rsidR="006641CD" w:rsidRPr="00190C09" w:rsidRDefault="006641CD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lastRenderedPageBreak/>
        <w:t xml:space="preserve">Improved health benefits – MDT </w:t>
      </w:r>
      <w:proofErr w:type="spellStart"/>
      <w:r w:rsidRPr="00190C09">
        <w:rPr>
          <w:rFonts w:ascii="Arial" w:hAnsi="Arial" w:cs="Arial"/>
          <w:lang w:val="en-US"/>
        </w:rPr>
        <w:t>programme</w:t>
      </w:r>
      <w:proofErr w:type="spellEnd"/>
      <w:r w:rsidRPr="00190C09">
        <w:rPr>
          <w:rFonts w:ascii="Arial" w:hAnsi="Arial" w:cs="Arial"/>
          <w:lang w:val="en-US"/>
        </w:rPr>
        <w:t xml:space="preserve"> supports people in a holistic way, cut</w:t>
      </w:r>
      <w:r w:rsidR="00825366" w:rsidRPr="00190C09">
        <w:rPr>
          <w:rFonts w:ascii="Arial" w:hAnsi="Arial" w:cs="Arial"/>
          <w:lang w:val="en-US"/>
        </w:rPr>
        <w:t>ting</w:t>
      </w:r>
      <w:r w:rsidRPr="00190C09">
        <w:rPr>
          <w:rFonts w:ascii="Arial" w:hAnsi="Arial" w:cs="Arial"/>
          <w:lang w:val="en-US"/>
        </w:rPr>
        <w:t xml:space="preserve"> across traditional service boundaries</w:t>
      </w:r>
      <w:r w:rsidR="00825366" w:rsidRPr="00190C09">
        <w:rPr>
          <w:rFonts w:ascii="Arial" w:hAnsi="Arial" w:cs="Arial"/>
          <w:lang w:val="en-US"/>
        </w:rPr>
        <w:t>.</w:t>
      </w:r>
      <w:r w:rsidRPr="00190C09">
        <w:rPr>
          <w:rFonts w:ascii="Arial" w:hAnsi="Arial" w:cs="Arial"/>
          <w:lang w:val="en-US"/>
        </w:rPr>
        <w:t xml:space="preserve"> </w:t>
      </w:r>
    </w:p>
    <w:p w14:paraId="55605DBF" w14:textId="2EBCEBD7" w:rsidR="006641CD" w:rsidRPr="00190C09" w:rsidRDefault="006641CD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Reduced referrals to secondary care</w:t>
      </w:r>
      <w:r w:rsidR="00825366" w:rsidRPr="00190C09">
        <w:rPr>
          <w:rFonts w:ascii="Arial" w:hAnsi="Arial" w:cs="Arial"/>
          <w:lang w:val="en-US"/>
        </w:rPr>
        <w:t>.</w:t>
      </w:r>
    </w:p>
    <w:p w14:paraId="6AE7D899" w14:textId="20B05D3E" w:rsidR="006641CD" w:rsidRPr="00190C09" w:rsidRDefault="006641CD" w:rsidP="00190C09">
      <w:pPr>
        <w:spacing w:line="360" w:lineRule="auto"/>
        <w:jc w:val="both"/>
        <w:rPr>
          <w:rFonts w:ascii="Arial" w:hAnsi="Arial" w:cs="Arial"/>
          <w:lang w:val="en-US"/>
        </w:rPr>
      </w:pPr>
      <w:r w:rsidRPr="00190C09">
        <w:rPr>
          <w:rFonts w:ascii="Arial" w:hAnsi="Arial" w:cs="Arial"/>
          <w:lang w:val="en-US"/>
        </w:rPr>
        <w:t>Increased access to services in the community</w:t>
      </w:r>
      <w:r w:rsidR="00825366" w:rsidRPr="00190C09">
        <w:rPr>
          <w:rFonts w:ascii="Arial" w:hAnsi="Arial" w:cs="Arial"/>
          <w:lang w:val="en-US"/>
        </w:rPr>
        <w:t>.</w:t>
      </w:r>
    </w:p>
    <w:p w14:paraId="3C6E483F" w14:textId="4545C887" w:rsidR="006641CD" w:rsidRPr="00190C09" w:rsidRDefault="006641CD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Other: Flexibility and agility to address the </w:t>
      </w:r>
      <w:r w:rsidRPr="006641CD">
        <w:rPr>
          <w:rFonts w:ascii="Arial" w:hAnsi="Arial" w:cs="Arial"/>
        </w:rPr>
        <w:t>conditions that make people unwell an</w:t>
      </w:r>
      <w:r w:rsidRPr="00190C09">
        <w:rPr>
          <w:rFonts w:ascii="Arial" w:hAnsi="Arial" w:cs="Arial"/>
        </w:rPr>
        <w:t xml:space="preserve">d intervene to </w:t>
      </w:r>
      <w:r w:rsidRPr="006641CD">
        <w:rPr>
          <w:rFonts w:ascii="Arial" w:hAnsi="Arial" w:cs="Arial"/>
        </w:rPr>
        <w:t>prevent people becoming unwell in the first place</w:t>
      </w:r>
      <w:r w:rsidRPr="00190C09">
        <w:rPr>
          <w:rFonts w:ascii="Arial" w:hAnsi="Arial" w:cs="Arial"/>
        </w:rPr>
        <w:t xml:space="preserve"> (aligning with Marmot Principles)</w:t>
      </w:r>
    </w:p>
    <w:p w14:paraId="17A3D338" w14:textId="009C7291" w:rsidR="006641CD" w:rsidRPr="00190C09" w:rsidRDefault="006641CD" w:rsidP="00190C09">
      <w:pPr>
        <w:spacing w:line="360" w:lineRule="auto"/>
        <w:jc w:val="both"/>
        <w:rPr>
          <w:rFonts w:ascii="Arial" w:hAnsi="Arial" w:cs="Arial"/>
          <w:b/>
          <w:bCs/>
        </w:rPr>
      </w:pPr>
      <w:r w:rsidRPr="00190C09">
        <w:rPr>
          <w:rFonts w:ascii="Arial" w:hAnsi="Arial" w:cs="Arial"/>
          <w:b/>
          <w:bCs/>
        </w:rPr>
        <w:t xml:space="preserve">Worked well? </w:t>
      </w:r>
    </w:p>
    <w:p w14:paraId="189827FF" w14:textId="73ECED16" w:rsidR="006641CD" w:rsidRPr="00190C09" w:rsidRDefault="006641CD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Centring mental health support in the locality with a point of access familiar to and readily accessible to people living in the community. </w:t>
      </w:r>
    </w:p>
    <w:p w14:paraId="1C7555DD" w14:textId="4F26A240" w:rsidR="006641CD" w:rsidRPr="00190C09" w:rsidRDefault="006641CD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>Early intervention and prevention</w:t>
      </w:r>
      <w:r w:rsidR="00340AF3" w:rsidRPr="00190C09">
        <w:rPr>
          <w:rFonts w:ascii="Arial" w:hAnsi="Arial" w:cs="Arial"/>
        </w:rPr>
        <w:t xml:space="preserve">; </w:t>
      </w:r>
      <w:r w:rsidR="009067AB" w:rsidRPr="00190C09">
        <w:rPr>
          <w:rFonts w:ascii="Arial" w:hAnsi="Arial" w:cs="Arial"/>
        </w:rPr>
        <w:t>increased service delivery in primary care, less referrals to secondary care.</w:t>
      </w:r>
    </w:p>
    <w:p w14:paraId="38C0F72F" w14:textId="0994DFD9" w:rsidR="009067AB" w:rsidRPr="00190C09" w:rsidRDefault="009067AB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A lifespan approach to mental health care in Primary Care, and across the MDT, has resulted in continuity of care for people at sensitive transitions in their lives. </w:t>
      </w:r>
    </w:p>
    <w:p w14:paraId="4E881310" w14:textId="21621AF7" w:rsidR="009067AB" w:rsidRPr="00190C09" w:rsidRDefault="009067AB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Integration of the stepped care model of mental health – community based recovery model that embraces a stepped approach to care. </w:t>
      </w:r>
    </w:p>
    <w:p w14:paraId="039DBD08" w14:textId="3E6A6C3A" w:rsidR="00340AF3" w:rsidRPr="00190C09" w:rsidRDefault="00340AF3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Intra-MDT referrals between MDT colleagues. </w:t>
      </w:r>
    </w:p>
    <w:p w14:paraId="6680E82F" w14:textId="42E247B9" w:rsidR="009067AB" w:rsidRPr="00190C09" w:rsidRDefault="009067AB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>Relationship development across the system.</w:t>
      </w:r>
    </w:p>
    <w:p w14:paraId="756337E0" w14:textId="476ECD05" w:rsidR="00340AF3" w:rsidRPr="00190C09" w:rsidRDefault="00340AF3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>More explicit focus on wellbeing among the population</w:t>
      </w:r>
    </w:p>
    <w:p w14:paraId="6CF57987" w14:textId="114B7639" w:rsidR="006641CD" w:rsidRPr="00190C09" w:rsidRDefault="006641CD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Learning and development opportunities for SMHPs in a newly established service and role – development of a ‘SMHP in Primary Care’ role. </w:t>
      </w:r>
    </w:p>
    <w:p w14:paraId="066D2233" w14:textId="5C32192B" w:rsidR="00A27B5B" w:rsidRPr="00190C09" w:rsidRDefault="00537B41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>A p</w:t>
      </w:r>
      <w:r w:rsidR="00A27B5B" w:rsidRPr="00190C09">
        <w:rPr>
          <w:rFonts w:ascii="Arial" w:hAnsi="Arial" w:cs="Arial"/>
        </w:rPr>
        <w:t xml:space="preserve">sychological safety </w:t>
      </w:r>
      <w:r w:rsidRPr="00190C09">
        <w:rPr>
          <w:rFonts w:ascii="Arial" w:hAnsi="Arial" w:cs="Arial"/>
        </w:rPr>
        <w:t xml:space="preserve">approach by leadership in the Federation has facilitated colleagues in proposing and testing service improvement initiatives. </w:t>
      </w:r>
    </w:p>
    <w:p w14:paraId="6CE44E2D" w14:textId="456332AD" w:rsidR="006641CD" w:rsidRPr="00190C09" w:rsidRDefault="00340AF3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Community cohesion – enhanced capital at the community, neighbourhood and citizen level. </w:t>
      </w:r>
      <w:r w:rsidR="00CE3F8F" w:rsidRPr="00190C09">
        <w:rPr>
          <w:rFonts w:ascii="Arial" w:hAnsi="Arial" w:cs="Arial"/>
        </w:rPr>
        <w:t xml:space="preserve">Seed funded projects </w:t>
      </w:r>
      <w:r w:rsidR="003D2ABC" w:rsidRPr="00190C09">
        <w:rPr>
          <w:rFonts w:ascii="Arial" w:hAnsi="Arial" w:cs="Arial"/>
        </w:rPr>
        <w:t xml:space="preserve">and the wider MDT Programme </w:t>
      </w:r>
      <w:r w:rsidR="00CE3F8F" w:rsidRPr="00190C09">
        <w:rPr>
          <w:rFonts w:ascii="Arial" w:hAnsi="Arial" w:cs="Arial"/>
        </w:rPr>
        <w:t xml:space="preserve">have highlighted the benefit of lived experience and peer support in normalising mental </w:t>
      </w:r>
      <w:r w:rsidR="003D2ABC" w:rsidRPr="00190C09">
        <w:rPr>
          <w:rFonts w:ascii="Arial" w:hAnsi="Arial" w:cs="Arial"/>
        </w:rPr>
        <w:t xml:space="preserve">health as a consequence/otherwise of the circumstances in which people live. </w:t>
      </w:r>
    </w:p>
    <w:p w14:paraId="48A07A29" w14:textId="1B490E3F" w:rsidR="00340AF3" w:rsidRPr="00190C09" w:rsidRDefault="00340AF3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lastRenderedPageBreak/>
        <w:t>Embedded partnership approach between the Federation, Trust and C&amp;V sector.</w:t>
      </w:r>
      <w:r w:rsidR="00E22021" w:rsidRPr="00190C09">
        <w:rPr>
          <w:rFonts w:ascii="Arial" w:hAnsi="Arial" w:cs="Arial"/>
        </w:rPr>
        <w:t xml:space="preserve"> </w:t>
      </w:r>
      <w:r w:rsidR="00FF2B8B" w:rsidRPr="00190C09">
        <w:rPr>
          <w:rFonts w:ascii="Arial" w:hAnsi="Arial" w:cs="Arial"/>
        </w:rPr>
        <w:t>Opportunities to co-design and develop new pathways through the  mental health support system</w:t>
      </w:r>
      <w:r w:rsidR="004F7940" w:rsidRPr="00190C09">
        <w:rPr>
          <w:rFonts w:ascii="Arial" w:hAnsi="Arial" w:cs="Arial"/>
        </w:rPr>
        <w:t xml:space="preserve"> (Regional Mental Health Service Pathfinder Pilot).</w:t>
      </w:r>
    </w:p>
    <w:p w14:paraId="56408E50" w14:textId="600AB848" w:rsidR="00280ED6" w:rsidRPr="00190C09" w:rsidRDefault="00280ED6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Effective and consistent leadership within the Federation and across all practices – emboldened by </w:t>
      </w:r>
      <w:r w:rsidR="00C23573" w:rsidRPr="00190C09">
        <w:rPr>
          <w:rFonts w:ascii="Arial" w:hAnsi="Arial" w:cs="Arial"/>
        </w:rPr>
        <w:t>good communication pathways and constructive working relationships.</w:t>
      </w:r>
    </w:p>
    <w:p w14:paraId="0BFD29A7" w14:textId="4831104F" w:rsidR="009067AB" w:rsidRPr="00190C09" w:rsidRDefault="009067AB" w:rsidP="00190C09">
      <w:pPr>
        <w:spacing w:line="360" w:lineRule="auto"/>
        <w:jc w:val="both"/>
        <w:rPr>
          <w:rFonts w:ascii="Arial" w:hAnsi="Arial" w:cs="Arial"/>
          <w:b/>
          <w:bCs/>
        </w:rPr>
      </w:pPr>
      <w:r w:rsidRPr="00190C09">
        <w:rPr>
          <w:rFonts w:ascii="Arial" w:hAnsi="Arial" w:cs="Arial"/>
          <w:b/>
          <w:bCs/>
        </w:rPr>
        <w:t>Challenges/barriers:</w:t>
      </w:r>
    </w:p>
    <w:p w14:paraId="765AEB1C" w14:textId="5F773F42" w:rsidR="009067AB" w:rsidRPr="00190C09" w:rsidRDefault="009067AB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>Improved health literacy among the population, increased psychosocial and societal pressures have resulted in increased help-seeking (in</w:t>
      </w:r>
      <w:r w:rsidR="00280ED6" w:rsidRPr="00190C09">
        <w:rPr>
          <w:rFonts w:ascii="Arial" w:hAnsi="Arial" w:cs="Arial"/>
        </w:rPr>
        <w:t xml:space="preserve"> </w:t>
      </w:r>
      <w:r w:rsidRPr="00190C09">
        <w:rPr>
          <w:rFonts w:ascii="Arial" w:hAnsi="Arial" w:cs="Arial"/>
        </w:rPr>
        <w:t xml:space="preserve">itself positive – the challenge is how the system can address this demand). </w:t>
      </w:r>
    </w:p>
    <w:p w14:paraId="6C72CBBF" w14:textId="06DE6E22" w:rsidR="009067AB" w:rsidRPr="00190C09" w:rsidRDefault="009067AB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>Services continue to operate in silos – challenges in the service user journey being fragmented.</w:t>
      </w:r>
    </w:p>
    <w:p w14:paraId="3BF91903" w14:textId="6C7D2042" w:rsidR="0000112C" w:rsidRPr="00190C09" w:rsidRDefault="0000112C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Opportunity for </w:t>
      </w:r>
      <w:r w:rsidR="00D62EF3" w:rsidRPr="00190C09">
        <w:rPr>
          <w:rFonts w:ascii="Arial" w:hAnsi="Arial" w:cs="Arial"/>
        </w:rPr>
        <w:t>a more integrative approach to service planning and de</w:t>
      </w:r>
      <w:r w:rsidR="00A13F85" w:rsidRPr="00190C09">
        <w:rPr>
          <w:rFonts w:ascii="Arial" w:hAnsi="Arial" w:cs="Arial"/>
        </w:rPr>
        <w:t>l</w:t>
      </w:r>
      <w:r w:rsidR="00D62EF3" w:rsidRPr="00190C09">
        <w:rPr>
          <w:rFonts w:ascii="Arial" w:hAnsi="Arial" w:cs="Arial"/>
        </w:rPr>
        <w:t>ivery</w:t>
      </w:r>
    </w:p>
    <w:p w14:paraId="40388F5D" w14:textId="49899FC9" w:rsidR="009067AB" w:rsidRPr="00190C09" w:rsidRDefault="009067AB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Uncertain financial landscape. </w:t>
      </w:r>
    </w:p>
    <w:p w14:paraId="1762ADE9" w14:textId="6A934EF8" w:rsidR="00115C8B" w:rsidRPr="00190C09" w:rsidRDefault="0000112C" w:rsidP="00190C09">
      <w:pPr>
        <w:spacing w:line="360" w:lineRule="auto"/>
        <w:jc w:val="both"/>
        <w:rPr>
          <w:rFonts w:ascii="Arial" w:hAnsi="Arial" w:cs="Arial"/>
          <w:b/>
          <w:bCs/>
        </w:rPr>
      </w:pPr>
      <w:r w:rsidRPr="00190C09">
        <w:rPr>
          <w:rFonts w:ascii="Arial" w:hAnsi="Arial" w:cs="Arial"/>
          <w:b/>
          <w:bCs/>
        </w:rPr>
        <w:t>Lessons to be learned:</w:t>
      </w:r>
    </w:p>
    <w:p w14:paraId="266769CD" w14:textId="42B8951D" w:rsidR="00D62EF3" w:rsidRPr="00190C09" w:rsidRDefault="00D62EF3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>If someone wants help of any kind, they don’t always (nor should they have to) consider whether the service they require</w:t>
      </w:r>
      <w:r w:rsidR="00584245" w:rsidRPr="00190C09">
        <w:rPr>
          <w:rFonts w:ascii="Arial" w:hAnsi="Arial" w:cs="Arial"/>
        </w:rPr>
        <w:t xml:space="preserve"> is in the community/voluntary/secondary/primary care. </w:t>
      </w:r>
    </w:p>
    <w:p w14:paraId="65E813D5" w14:textId="5DE38616" w:rsidR="00A27B5B" w:rsidRPr="00190C09" w:rsidRDefault="00A27B5B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Leadership colleagues across the </w:t>
      </w:r>
      <w:r w:rsidR="00537B41" w:rsidRPr="00190C09">
        <w:rPr>
          <w:rFonts w:ascii="Arial" w:hAnsi="Arial" w:cs="Arial"/>
        </w:rPr>
        <w:t xml:space="preserve">system should integrate a psychologically safe culture throughout their organisations that facilitate colleagues in thinking ‘citizen first’, </w:t>
      </w:r>
      <w:r w:rsidR="00AB5874" w:rsidRPr="00190C09">
        <w:rPr>
          <w:rFonts w:ascii="Arial" w:hAnsi="Arial" w:cs="Arial"/>
        </w:rPr>
        <w:t xml:space="preserve">seeking opportunities to open access to services </w:t>
      </w:r>
      <w:r w:rsidR="00537B41" w:rsidRPr="00190C09">
        <w:rPr>
          <w:rFonts w:ascii="Arial" w:hAnsi="Arial" w:cs="Arial"/>
        </w:rPr>
        <w:t xml:space="preserve">rather than </w:t>
      </w:r>
      <w:r w:rsidR="00AB5874" w:rsidRPr="00190C09">
        <w:rPr>
          <w:rFonts w:ascii="Arial" w:hAnsi="Arial" w:cs="Arial"/>
        </w:rPr>
        <w:t>adopting a preoccupation with</w:t>
      </w:r>
      <w:r w:rsidR="00537B41" w:rsidRPr="00190C09">
        <w:rPr>
          <w:rFonts w:ascii="Arial" w:hAnsi="Arial" w:cs="Arial"/>
        </w:rPr>
        <w:t xml:space="preserve"> </w:t>
      </w:r>
      <w:r w:rsidR="00AB5874" w:rsidRPr="00190C09">
        <w:rPr>
          <w:rFonts w:ascii="Arial" w:hAnsi="Arial" w:cs="Arial"/>
        </w:rPr>
        <w:t xml:space="preserve">service and boundary pressures </w:t>
      </w:r>
      <w:r w:rsidR="00A13F85" w:rsidRPr="00190C09">
        <w:rPr>
          <w:rFonts w:ascii="Arial" w:hAnsi="Arial" w:cs="Arial"/>
        </w:rPr>
        <w:t>in seeking to close access to services.</w:t>
      </w:r>
    </w:p>
    <w:p w14:paraId="514FC013" w14:textId="5F98D225" w:rsidR="00584245" w:rsidRPr="00190C09" w:rsidRDefault="00584245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>GP Practices</w:t>
      </w:r>
      <w:r w:rsidR="00B1539E" w:rsidRPr="00190C09">
        <w:rPr>
          <w:rFonts w:ascii="Arial" w:hAnsi="Arial" w:cs="Arial"/>
        </w:rPr>
        <w:t xml:space="preserve"> and the services offered therein</w:t>
      </w:r>
      <w:r w:rsidRPr="00190C09">
        <w:rPr>
          <w:rFonts w:ascii="Arial" w:hAnsi="Arial" w:cs="Arial"/>
        </w:rPr>
        <w:t xml:space="preserve"> are rooted in and </w:t>
      </w:r>
      <w:r w:rsidR="00704CB2" w:rsidRPr="00190C09">
        <w:rPr>
          <w:rFonts w:ascii="Arial" w:hAnsi="Arial" w:cs="Arial"/>
        </w:rPr>
        <w:t>by the local neighbourhood in which they are situated</w:t>
      </w:r>
      <w:r w:rsidR="00B1539E" w:rsidRPr="00190C09">
        <w:rPr>
          <w:rFonts w:ascii="Arial" w:hAnsi="Arial" w:cs="Arial"/>
        </w:rPr>
        <w:t xml:space="preserve"> – there is therefore an opportunity t</w:t>
      </w:r>
      <w:r w:rsidR="00875D4A" w:rsidRPr="00190C09">
        <w:rPr>
          <w:rFonts w:ascii="Arial" w:hAnsi="Arial" w:cs="Arial"/>
        </w:rPr>
        <w:t>o appreciate and address needs on a loca</w:t>
      </w:r>
      <w:r w:rsidR="00BF4588" w:rsidRPr="00190C09">
        <w:rPr>
          <w:rFonts w:ascii="Arial" w:hAnsi="Arial" w:cs="Arial"/>
        </w:rPr>
        <w:t xml:space="preserve">l neighbourhood level. </w:t>
      </w:r>
    </w:p>
    <w:p w14:paraId="3BF36D05" w14:textId="7CEDFE55" w:rsidR="00BF4588" w:rsidRPr="00190C09" w:rsidRDefault="00BF4588" w:rsidP="00190C09">
      <w:pPr>
        <w:spacing w:line="360" w:lineRule="auto"/>
        <w:jc w:val="both"/>
        <w:rPr>
          <w:rFonts w:ascii="Arial" w:hAnsi="Arial" w:cs="Arial"/>
        </w:rPr>
      </w:pPr>
      <w:r w:rsidRPr="00190C09">
        <w:rPr>
          <w:rFonts w:ascii="Arial" w:hAnsi="Arial" w:cs="Arial"/>
        </w:rPr>
        <w:t xml:space="preserve">People with lived experience can offer </w:t>
      </w:r>
      <w:r w:rsidR="008A0F4E" w:rsidRPr="00190C09">
        <w:rPr>
          <w:rFonts w:ascii="Arial" w:hAnsi="Arial" w:cs="Arial"/>
        </w:rPr>
        <w:t>a demystifying, normalising approa</w:t>
      </w:r>
      <w:r w:rsidR="00E22021" w:rsidRPr="00190C09">
        <w:rPr>
          <w:rFonts w:ascii="Arial" w:hAnsi="Arial" w:cs="Arial"/>
        </w:rPr>
        <w:t xml:space="preserve">ch to early intervention and prevention in the context of a stepped care </w:t>
      </w:r>
      <w:r w:rsidR="00190C09" w:rsidRPr="00190C09">
        <w:rPr>
          <w:rFonts w:ascii="Arial" w:hAnsi="Arial" w:cs="Arial"/>
        </w:rPr>
        <w:t xml:space="preserve">and peer-led </w:t>
      </w:r>
      <w:r w:rsidR="00E22021" w:rsidRPr="00190C09">
        <w:rPr>
          <w:rFonts w:ascii="Arial" w:hAnsi="Arial" w:cs="Arial"/>
        </w:rPr>
        <w:t>approach to mental health</w:t>
      </w:r>
      <w:r w:rsidR="00190C09" w:rsidRPr="00190C09">
        <w:rPr>
          <w:rFonts w:ascii="Arial" w:hAnsi="Arial" w:cs="Arial"/>
        </w:rPr>
        <w:t xml:space="preserve"> and wellbeing</w:t>
      </w:r>
      <w:r w:rsidR="00E22021" w:rsidRPr="00190C09">
        <w:rPr>
          <w:rFonts w:ascii="Arial" w:hAnsi="Arial" w:cs="Arial"/>
        </w:rPr>
        <w:t xml:space="preserve">. </w:t>
      </w:r>
      <w:r w:rsidRPr="00190C09">
        <w:rPr>
          <w:rFonts w:ascii="Arial" w:hAnsi="Arial" w:cs="Arial"/>
        </w:rPr>
        <w:t xml:space="preserve"> </w:t>
      </w:r>
    </w:p>
    <w:p w14:paraId="0A43C70C" w14:textId="77777777" w:rsidR="004F7940" w:rsidRPr="00190C09" w:rsidRDefault="004F7940" w:rsidP="00190C09">
      <w:pPr>
        <w:spacing w:line="360" w:lineRule="auto"/>
        <w:jc w:val="both"/>
        <w:rPr>
          <w:rFonts w:ascii="Arial" w:hAnsi="Arial" w:cs="Arial"/>
        </w:rPr>
      </w:pPr>
    </w:p>
    <w:p w14:paraId="45DCA5ED" w14:textId="77777777" w:rsidR="00D62EF3" w:rsidRPr="00190C09" w:rsidRDefault="00D62EF3" w:rsidP="00190C09">
      <w:pPr>
        <w:spacing w:line="360" w:lineRule="auto"/>
        <w:jc w:val="both"/>
        <w:rPr>
          <w:rFonts w:ascii="Arial" w:hAnsi="Arial" w:cs="Arial"/>
        </w:rPr>
      </w:pPr>
    </w:p>
    <w:p w14:paraId="06F503F7" w14:textId="77777777" w:rsidR="00D62EF3" w:rsidRPr="00190C09" w:rsidRDefault="00D62EF3" w:rsidP="00190C09">
      <w:pPr>
        <w:spacing w:line="360" w:lineRule="auto"/>
        <w:jc w:val="both"/>
        <w:rPr>
          <w:rFonts w:ascii="Arial" w:hAnsi="Arial" w:cs="Arial"/>
        </w:rPr>
      </w:pPr>
    </w:p>
    <w:p w14:paraId="0DAF2216" w14:textId="77777777" w:rsidR="0000112C" w:rsidRPr="00190C09" w:rsidRDefault="0000112C" w:rsidP="00190C09">
      <w:pPr>
        <w:spacing w:line="360" w:lineRule="auto"/>
        <w:jc w:val="both"/>
        <w:rPr>
          <w:rFonts w:ascii="Arial" w:hAnsi="Arial" w:cs="Arial"/>
        </w:rPr>
      </w:pPr>
    </w:p>
    <w:p w14:paraId="55551E36" w14:textId="77777777" w:rsidR="009067AB" w:rsidRPr="00190C09" w:rsidRDefault="009067AB" w:rsidP="00190C09">
      <w:pPr>
        <w:spacing w:line="360" w:lineRule="auto"/>
        <w:jc w:val="both"/>
        <w:rPr>
          <w:rFonts w:ascii="Arial" w:hAnsi="Arial" w:cs="Arial"/>
        </w:rPr>
      </w:pPr>
    </w:p>
    <w:p w14:paraId="45C26099" w14:textId="77777777" w:rsidR="009067AB" w:rsidRPr="00190C09" w:rsidRDefault="009067AB" w:rsidP="00190C09">
      <w:pPr>
        <w:spacing w:line="360" w:lineRule="auto"/>
        <w:jc w:val="both"/>
        <w:rPr>
          <w:rFonts w:ascii="Arial" w:hAnsi="Arial" w:cs="Arial"/>
        </w:rPr>
      </w:pPr>
    </w:p>
    <w:p w14:paraId="57CA5B12" w14:textId="77777777" w:rsidR="00340AF3" w:rsidRPr="006641CD" w:rsidRDefault="00340AF3" w:rsidP="00190C09">
      <w:pPr>
        <w:spacing w:line="360" w:lineRule="auto"/>
        <w:jc w:val="both"/>
        <w:rPr>
          <w:rFonts w:ascii="Arial" w:hAnsi="Arial" w:cs="Arial"/>
        </w:rPr>
      </w:pPr>
    </w:p>
    <w:p w14:paraId="3F4F5183" w14:textId="77777777" w:rsidR="006641CD" w:rsidRPr="00190C09" w:rsidRDefault="006641CD" w:rsidP="00190C09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62CC226" w14:textId="77777777" w:rsidR="006641CD" w:rsidRPr="00190C09" w:rsidRDefault="006641CD" w:rsidP="00190C09">
      <w:pPr>
        <w:spacing w:line="360" w:lineRule="auto"/>
        <w:jc w:val="both"/>
        <w:rPr>
          <w:rFonts w:ascii="Arial" w:hAnsi="Arial" w:cs="Arial"/>
          <w:lang w:val="en-US"/>
        </w:rPr>
      </w:pPr>
    </w:p>
    <w:sectPr w:rsidR="006641CD" w:rsidRPr="00190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17878"/>
    <w:multiLevelType w:val="hybridMultilevel"/>
    <w:tmpl w:val="1122A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7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CD"/>
    <w:rsid w:val="0000112C"/>
    <w:rsid w:val="0000449D"/>
    <w:rsid w:val="0001068B"/>
    <w:rsid w:val="00044130"/>
    <w:rsid w:val="00075F93"/>
    <w:rsid w:val="0007787B"/>
    <w:rsid w:val="00115C8B"/>
    <w:rsid w:val="00190C09"/>
    <w:rsid w:val="001A7405"/>
    <w:rsid w:val="001A7908"/>
    <w:rsid w:val="001B2872"/>
    <w:rsid w:val="001E7AAE"/>
    <w:rsid w:val="00271C5D"/>
    <w:rsid w:val="00280ED6"/>
    <w:rsid w:val="00340AF3"/>
    <w:rsid w:val="00347B0F"/>
    <w:rsid w:val="003538C6"/>
    <w:rsid w:val="003D2ABC"/>
    <w:rsid w:val="003E1071"/>
    <w:rsid w:val="004323D1"/>
    <w:rsid w:val="00440D48"/>
    <w:rsid w:val="0044746B"/>
    <w:rsid w:val="00452473"/>
    <w:rsid w:val="0049799D"/>
    <w:rsid w:val="004E5DFC"/>
    <w:rsid w:val="004F7940"/>
    <w:rsid w:val="00537B41"/>
    <w:rsid w:val="005405D3"/>
    <w:rsid w:val="0055679B"/>
    <w:rsid w:val="00564865"/>
    <w:rsid w:val="005657AA"/>
    <w:rsid w:val="00584245"/>
    <w:rsid w:val="0058453F"/>
    <w:rsid w:val="005C33D3"/>
    <w:rsid w:val="005E2028"/>
    <w:rsid w:val="00660402"/>
    <w:rsid w:val="006641CD"/>
    <w:rsid w:val="00704CB2"/>
    <w:rsid w:val="00745357"/>
    <w:rsid w:val="007759A1"/>
    <w:rsid w:val="00790FCE"/>
    <w:rsid w:val="00806E50"/>
    <w:rsid w:val="00825366"/>
    <w:rsid w:val="00875D4A"/>
    <w:rsid w:val="008A0F4E"/>
    <w:rsid w:val="00903D7B"/>
    <w:rsid w:val="009067AB"/>
    <w:rsid w:val="009D1E03"/>
    <w:rsid w:val="00A13F85"/>
    <w:rsid w:val="00A23190"/>
    <w:rsid w:val="00A23E98"/>
    <w:rsid w:val="00A27B5B"/>
    <w:rsid w:val="00A7214E"/>
    <w:rsid w:val="00AB5874"/>
    <w:rsid w:val="00AE04A0"/>
    <w:rsid w:val="00B1539E"/>
    <w:rsid w:val="00B935E0"/>
    <w:rsid w:val="00BA7272"/>
    <w:rsid w:val="00BD2D9D"/>
    <w:rsid w:val="00BF4588"/>
    <w:rsid w:val="00C23573"/>
    <w:rsid w:val="00C40FCA"/>
    <w:rsid w:val="00C65663"/>
    <w:rsid w:val="00CE3F8F"/>
    <w:rsid w:val="00D62EF3"/>
    <w:rsid w:val="00E22021"/>
    <w:rsid w:val="00F00CE7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D2BA"/>
  <w15:chartTrackingRefBased/>
  <w15:docId w15:val="{216DF638-A4A3-4C1E-A0EC-DFA5D1D7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1423</Words>
  <Characters>7898</Characters>
  <Application>Microsoft Office Word</Application>
  <DocSecurity>0</DocSecurity>
  <Lines>175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Kavanagh</dc:creator>
  <cp:keywords/>
  <dc:description/>
  <cp:lastModifiedBy>Damien Kavanagh</cp:lastModifiedBy>
  <cp:revision>62</cp:revision>
  <dcterms:created xsi:type="dcterms:W3CDTF">2025-11-13T11:41:00Z</dcterms:created>
  <dcterms:modified xsi:type="dcterms:W3CDTF">2025-11-13T15:56:00Z</dcterms:modified>
</cp:coreProperties>
</file>